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jpeg" ContentType="image/jpeg"/>
  <Override PartName="/word/media/image4.jpeg" ContentType="image/jpeg"/>
  <Override PartName="/word/media/image5.jpeg" ContentType="image/jpeg"/>
  <Override PartName="/word/media/image6.jpeg" ContentType="image/jpeg"/>
  <Override PartName="/word/media/image8.png" ContentType="image/png"/>
  <Override PartName="/word/media/image7.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 xml:space="preserve">UNITED STATES </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AND EXCHANGE COMMISSION</w:t>
      </w:r>
    </w:p>
    <w:p>
      <w:pPr>
        <w:pStyle w:val="TextBody"/>
        <w:bidi w:val="0"/>
        <w:spacing w:lineRule="auto" w:line="288" w:before="0" w:after="100"/>
        <w:jc w:val="center"/>
        <w:rPr>
          <w:rFonts w:ascii="Arial;sans-serif" w:hAnsi="Arial;sans-serif"/>
          <w:b w:val="false"/>
          <w:color w:val="000000"/>
          <w:sz w:val="22"/>
        </w:rPr>
      </w:pPr>
      <w:r>
        <w:rPr>
          <w:rFonts w:ascii="Arial;sans-serif" w:hAnsi="Arial;sans-serif"/>
          <w:b w:val="false"/>
          <w:color w:val="000000"/>
          <w:sz w:val="22"/>
        </w:rPr>
        <w:t>Washington, D.C. 20549</w:t>
      </w:r>
    </w:p>
    <w:p>
      <w:pPr>
        <w:pStyle w:val="TextBody"/>
        <w:bidi w:val="0"/>
        <w:spacing w:lineRule="auto" w:line="288" w:before="100" w:after="100"/>
        <w:jc w:val="center"/>
        <w:rPr>
          <w:rFonts w:ascii="Arial;sans-serif" w:hAnsi="Arial;sans-serif"/>
          <w:b/>
          <w:color w:val="000000"/>
          <w:sz w:val="24"/>
        </w:rPr>
      </w:pPr>
      <w:r>
        <w:rPr>
          <w:rFonts w:ascii="Arial;sans-serif" w:hAnsi="Arial;sans-serif"/>
          <w:b/>
          <w:color w:val="000000"/>
          <w:sz w:val="24"/>
        </w:rPr>
        <w:t xml:space="preserve">FORM 8-K </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Pursuant to Section 13 or 15(d) of the </w:t>
      </w:r>
    </w:p>
    <w:p>
      <w:pPr>
        <w:pStyle w:val="TextBody"/>
        <w:bidi w:val="0"/>
        <w:spacing w:lineRule="auto" w:line="288" w:before="0" w:after="100"/>
        <w:jc w:val="center"/>
        <w:rPr>
          <w:rFonts w:ascii="Arial;sans-serif" w:hAnsi="Arial;sans-serif"/>
          <w:b/>
          <w:color w:val="000000"/>
          <w:sz w:val="20"/>
        </w:rPr>
      </w:pPr>
      <w:r>
        <w:rPr>
          <w:rFonts w:ascii="Arial;sans-serif" w:hAnsi="Arial;sans-serif"/>
          <w:b/>
          <w:color w:val="000000"/>
          <w:sz w:val="20"/>
        </w:rPr>
        <w:t>Securities Exchange Act of 1934</w:t>
      </w:r>
    </w:p>
    <w:p>
      <w:pPr>
        <w:pStyle w:val="TextBody"/>
        <w:bidi w:val="0"/>
        <w:spacing w:lineRule="auto" w:line="288" w:before="100" w:after="100"/>
        <w:jc w:val="center"/>
        <w:rPr>
          <w:rFonts w:ascii="Arial;sans-serif" w:hAnsi="Arial;sans-serif"/>
          <w:b w:val="false"/>
          <w:color w:val="000000"/>
          <w:sz w:val="20"/>
        </w:rPr>
      </w:pPr>
      <w:r>
        <w:rPr>
          <w:rFonts w:ascii="Arial;sans-serif" w:hAnsi="Arial;sans-serif"/>
          <w:b w:val="false"/>
          <w:color w:val="000000"/>
          <w:sz w:val="20"/>
        </w:rPr>
        <w:t xml:space="preserve">Date of Report (Date of earliest event reported): May 5, 2026 </w:t>
      </w:r>
    </w:p>
    <w:p>
      <w:pPr>
        <w:pStyle w:val="TextBody"/>
        <w:bidi w:val="0"/>
        <w:spacing w:lineRule="auto" w:line="288" w:before="100" w:after="100"/>
        <w:jc w:val="center"/>
        <w:rPr>
          <w:rFonts w:ascii="Arial;sans-serif" w:hAnsi="Arial;sans-serif"/>
          <w:b/>
          <w:color w:val="000000"/>
          <w:sz w:val="24"/>
          <w:u w:val="single"/>
        </w:rPr>
      </w:pPr>
      <w:r>
        <w:rPr>
          <w:rFonts w:ascii="Arial;sans-serif" w:hAnsi="Arial;sans-serif"/>
          <w:b/>
          <w:color w:val="000000"/>
          <w:sz w:val="24"/>
          <w:u w:val="single"/>
        </w:rPr>
        <w:t xml:space="preserve">JACK HENRY &amp; ASSOCIATES, INC. </w:t>
      </w:r>
    </w:p>
    <w:p>
      <w:pPr>
        <w:pStyle w:val="TextBody"/>
        <w:bidi w:val="0"/>
        <w:spacing w:lineRule="auto" w:line="288" w:before="0" w:after="10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9238" w:type="dxa"/>
        <w:jc w:val="center"/>
        <w:tblInd w:w="0" w:type="dxa"/>
        <w:tblLayout w:type="fixed"/>
        <w:tblCellMar>
          <w:top w:w="28" w:type="dxa"/>
          <w:left w:w="28" w:type="dxa"/>
          <w:bottom w:w="28" w:type="dxa"/>
          <w:right w:w="28" w:type="dxa"/>
        </w:tblCellMar>
      </w:tblPr>
      <w:tblGrid>
        <w:gridCol w:w="1380"/>
        <w:gridCol w:w="1210"/>
        <w:gridCol w:w="1219"/>
        <w:gridCol w:w="802"/>
        <w:gridCol w:w="802"/>
        <w:gridCol w:w="810"/>
        <w:gridCol w:w="880"/>
        <w:gridCol w:w="880"/>
        <w:gridCol w:w="1255"/>
      </w:tblGrid>
      <w:tr>
        <w:trPr/>
        <w:tc>
          <w:tcPr>
            <w:tcW w:w="138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Delaware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0-14112</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43-1128385</w:t>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01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 xml:space="preserve">663 Highway 60, P.O. Box 807, Monett, MO 65708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 xml:space="preserve">417-235-6652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u w:val="single"/>
        </w:rPr>
      </w:pPr>
      <w:r>
        <w:rPr>
          <w:rFonts w:ascii="Arial;sans-serif" w:hAnsi="Arial;sans-serif"/>
          <w:b/>
          <w:color w:val="000000"/>
          <w:sz w:val="22"/>
          <w:u w:val="single"/>
        </w:rPr>
        <w:t>N/A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p>
      <w:pPr>
        <w:pStyle w:val="TextBody"/>
        <w:bidi w:val="0"/>
        <w:spacing w:before="100" w:after="100"/>
        <w:jc w:val="center"/>
        <w:rPr/>
      </w:pPr>
      <w:r>
        <w:rPr/>
      </w:r>
    </w:p>
    <w:p>
      <w:pPr>
        <w:pStyle w:val="TextBody"/>
        <w:bidi w:val="0"/>
        <w:spacing w:lineRule="auto" w:line="288" w:before="100" w:after="100"/>
        <w:ind w:left="0" w:right="0" w:firstLine="270"/>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both"/>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120" w:after="283"/>
        <w:jc w:val="both"/>
        <w:rPr/>
      </w:pPr>
      <w:r>
        <w:rPr>
          <w:color w:val="000000"/>
        </w:rPr>
        <w:t xml:space="preserve">☐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120" w:after="283"/>
        <w:jc w:val="both"/>
        <w:rPr/>
      </w:pPr>
      <w:r>
        <w:rPr>
          <w:color w:val="000000"/>
        </w:rPr>
        <w:t xml:space="preserve">☐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0" w:after="0"/>
        <w:jc w:val="both"/>
        <w:rPr/>
      </w:pPr>
      <w:r>
        <w:rPr>
          <w:color w:val="000000"/>
        </w:rPr>
        <w:t xml:space="preserve">☐ </w:t>
      </w:r>
      <w:r>
        <w:rPr>
          <w:rFonts w:ascii="Arial;sans-serif" w:hAnsi="Arial;sans-serif"/>
          <w:b w:val="false"/>
          <w:color w:val="000000"/>
          <w:sz w:val="20"/>
        </w:rPr>
        <w:t>Pre-commencement communications pursuant to Rule 13e-4 (c) under the Exchange Act (17 CFR 240.13e-4(c))</w:t>
      </w:r>
    </w:p>
    <w:tbl>
      <w:tblPr>
        <w:tblW w:w="8488" w:type="dxa"/>
        <w:jc w:val="center"/>
        <w:tblInd w:w="0" w:type="dxa"/>
        <w:tblLayout w:type="fixed"/>
        <w:tblCellMar>
          <w:top w:w="28" w:type="dxa"/>
          <w:left w:w="28" w:type="dxa"/>
          <w:bottom w:w="28" w:type="dxa"/>
          <w:right w:w="28" w:type="dxa"/>
        </w:tblCellMar>
      </w:tblPr>
      <w:tblGrid>
        <w:gridCol w:w="1059"/>
        <w:gridCol w:w="928"/>
        <w:gridCol w:w="938"/>
        <w:gridCol w:w="519"/>
        <w:gridCol w:w="519"/>
        <w:gridCol w:w="521"/>
        <w:gridCol w:w="1170"/>
        <w:gridCol w:w="1170"/>
        <w:gridCol w:w="1664"/>
      </w:tblGrid>
      <w:tr>
        <w:trPr/>
        <w:tc>
          <w:tcPr>
            <w:tcW w:w="105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Ticker symbol(s)</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Name of each exchange on which registered</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$0.01 par value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JKHY</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Nasdaq Global Select Market</w:t>
            </w:r>
          </w:p>
        </w:tc>
      </w:tr>
    </w:tbl>
    <w:p>
      <w:pPr>
        <w:pStyle w:val="TextBody"/>
        <w:bidi w:val="0"/>
        <w:spacing w:before="0" w:after="0"/>
        <w:jc w:val="both"/>
        <w:rPr/>
      </w:pPr>
      <w:r>
        <w:rPr/>
      </w:r>
    </w:p>
    <w:p>
      <w:pPr>
        <w:pStyle w:val="TextBody"/>
        <w:bidi w:val="0"/>
        <w:spacing w:lineRule="auto" w:line="288" w:before="0" w:after="0"/>
        <w:ind w:left="0" w:right="0" w:firstLine="270"/>
        <w:jc w:val="both"/>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Arial;sans-serif" w:hAnsi="Arial;sans-serif"/>
          <w:b w:val="false"/>
          <w:color w:val="000000"/>
          <w:sz w:val="20"/>
        </w:rPr>
        <w:t xml:space="preserve">Emerging growth company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jc w:val="left"/>
        <w:rPr/>
      </w:pPr>
      <w:r>
        <w:rPr/>
      </w:r>
    </w:p>
    <w:p>
      <w:pPr>
        <w:pStyle w:val="TextBody"/>
        <w:bidi w:val="0"/>
        <w:spacing w:lineRule="auto" w:line="288" w:before="100" w:after="200"/>
        <w:jc w:val="both"/>
        <w:rPr>
          <w:rFonts w:ascii="Arial;sans-serif" w:hAnsi="Arial;sans-serif"/>
          <w:b/>
          <w:color w:val="000000"/>
          <w:sz w:val="20"/>
        </w:rPr>
      </w:pPr>
      <w:r>
        <w:rPr>
          <w:rFonts w:ascii="Arial;sans-serif" w:hAnsi="Arial;sans-serif"/>
          <w:b/>
          <w:color w:val="000000"/>
          <w:sz w:val="20"/>
        </w:rPr>
        <w:t>Item 2.02</w:t>
      </w:r>
    </w:p>
    <w:p>
      <w:pPr>
        <w:pStyle w:val="TextBody"/>
        <w:bidi w:val="0"/>
        <w:spacing w:lineRule="auto" w:line="288" w:before="100" w:after="100"/>
        <w:jc w:val="left"/>
        <w:rPr>
          <w:rFonts w:ascii="Arial;sans-serif" w:hAnsi="Arial;sans-serif"/>
          <w:b/>
          <w:color w:val="000000"/>
          <w:sz w:val="20"/>
        </w:rPr>
      </w:pPr>
      <w:r>
        <w:rPr>
          <w:rFonts w:ascii="Arial;sans-serif" w:hAnsi="Arial;sans-serif"/>
          <w:b/>
          <w:color w:val="000000"/>
          <w:sz w:val="20"/>
        </w:rPr>
        <w:t>Results of Operations and Financial Condition.</w:t>
      </w:r>
    </w:p>
    <w:p>
      <w:pPr>
        <w:pStyle w:val="TextBody"/>
        <w:bidi w:val="0"/>
        <w:spacing w:lineRule="auto" w:line="288" w:before="100" w:after="100"/>
        <w:ind w:left="0" w:right="0" w:firstLine="270"/>
        <w:jc w:val="both"/>
        <w:rPr>
          <w:rFonts w:ascii="Arial;sans-serif" w:hAnsi="Arial;sans-serif"/>
          <w:b w:val="false"/>
          <w:color w:val="000000"/>
          <w:sz w:val="20"/>
        </w:rPr>
      </w:pPr>
      <w:r>
        <w:rPr>
          <w:rFonts w:ascii="Arial;sans-serif" w:hAnsi="Arial;sans-serif"/>
          <w:b w:val="false"/>
          <w:color w:val="000000"/>
          <w:sz w:val="20"/>
        </w:rPr>
        <w:t>On May 5, 2026, Jack Henry &amp; Associates, Inc. issued a press release announcing fiscal 2026 third quarter results, the text of which is attached hereto as Exhibit 99.1.</w:t>
      </w:r>
    </w:p>
    <w:p>
      <w:pPr>
        <w:pStyle w:val="TextBody"/>
        <w:bidi w:val="0"/>
        <w:spacing w:before="100" w:after="100"/>
        <w:ind w:left="0" w:right="0" w:firstLine="270"/>
        <w:jc w:val="both"/>
        <w:rPr/>
      </w:pPr>
      <w:r>
        <w:rPr/>
      </w:r>
    </w:p>
    <w:p>
      <w:pPr>
        <w:pStyle w:val="TextBody"/>
        <w:bidi w:val="0"/>
        <w:spacing w:lineRule="auto" w:line="288" w:before="100" w:after="100"/>
        <w:jc w:val="left"/>
        <w:rPr>
          <w:rFonts w:ascii="Arial;sans-serif" w:hAnsi="Arial;sans-serif"/>
          <w:b/>
          <w:color w:val="000000"/>
          <w:sz w:val="20"/>
        </w:rPr>
      </w:pPr>
      <w:r>
        <w:rPr>
          <w:rFonts w:ascii="Arial;sans-serif" w:hAnsi="Arial;sans-serif"/>
          <w:b/>
          <w:color w:val="000000"/>
          <w:sz w:val="20"/>
        </w:rPr>
        <w:t>Item 9.01</w:t>
      </w:r>
    </w:p>
    <w:p>
      <w:pPr>
        <w:pStyle w:val="TextBody"/>
        <w:bidi w:val="0"/>
        <w:spacing w:lineRule="auto" w:line="288" w:before="100" w:after="100"/>
        <w:jc w:val="both"/>
        <w:rPr>
          <w:rFonts w:ascii="Arial;sans-serif" w:hAnsi="Arial;sans-serif"/>
          <w:b/>
          <w:color w:val="000000"/>
          <w:sz w:val="20"/>
        </w:rPr>
      </w:pPr>
      <w:r>
        <w:rPr>
          <w:rFonts w:ascii="Arial;sans-serif" w:hAnsi="Arial;sans-serif"/>
          <w:b/>
          <w:color w:val="000000"/>
          <w:sz w:val="20"/>
        </w:rPr>
        <w:t>Financial Statements and Exhibits.</w:t>
      </w:r>
    </w:p>
    <w:p>
      <w:pPr>
        <w:pStyle w:val="TextBody"/>
        <w:bidi w:val="0"/>
        <w:spacing w:lineRule="auto" w:line="288" w:before="100" w:after="100"/>
        <w:ind w:left="0" w:right="0" w:firstLine="270"/>
        <w:jc w:val="both"/>
        <w:rPr>
          <w:rFonts w:ascii="Arial;sans-serif" w:hAnsi="Arial;sans-serif"/>
          <w:b w:val="false"/>
          <w:color w:val="000000"/>
          <w:sz w:val="20"/>
        </w:rPr>
      </w:pPr>
      <w:r>
        <w:rPr>
          <w:rFonts w:ascii="Arial;sans-serif" w:hAnsi="Arial;sans-serif"/>
          <w:b w:val="false"/>
          <w:color w:val="000000"/>
          <w:sz w:val="20"/>
        </w:rPr>
        <w:t>(d)    Exhibits    </w:t>
      </w:r>
    </w:p>
    <w:p>
      <w:pPr>
        <w:pStyle w:val="TextBody"/>
        <w:bidi w:val="0"/>
        <w:spacing w:lineRule="auto" w:line="288" w:before="100" w:after="100"/>
        <w:ind w:left="0" w:right="0" w:firstLine="270"/>
        <w:jc w:val="left"/>
        <w:rPr/>
      </w:pPr>
      <w:r>
        <w:rPr>
          <w:color w:val="000000"/>
        </w:rPr>
        <w:t>    </w:t>
      </w:r>
      <w:r>
        <w:rPr>
          <w:rFonts w:ascii="Arial;sans-serif" w:hAnsi="Arial;sans-serif"/>
          <w:b w:val="false"/>
          <w:color w:val="000000"/>
          <w:sz w:val="20"/>
        </w:rPr>
        <w:t>99.1     </w:t>
      </w:r>
      <w:hyperlink w:anchor="jkhy-20260331xex99pressrel.htm">
        <w:r>
          <w:rPr>
            <w:rStyle w:val="InternetLink"/>
            <w:rFonts w:ascii="Arial;sans-serif" w:hAnsi="Arial;sans-serif"/>
            <w:b w:val="false"/>
            <w:color w:val="0000FF"/>
            <w:sz w:val="20"/>
            <w:u w:val="single"/>
          </w:rPr>
          <w:t>Press release dated May 5, 2026</w:t>
        </w:r>
      </w:hyperlink>
    </w:p>
    <w:p>
      <w:pPr>
        <w:pStyle w:val="TextBody"/>
        <w:bidi w:val="0"/>
        <w:spacing w:lineRule="auto" w:line="288" w:before="100" w:after="100"/>
        <w:ind w:left="0" w:right="0" w:firstLine="270"/>
        <w:jc w:val="left"/>
        <w:rPr>
          <w:rFonts w:ascii="Arial;sans-serif" w:hAnsi="Arial;sans-serif"/>
          <w:b w:val="false"/>
          <w:color w:val="000000"/>
          <w:sz w:val="20"/>
        </w:rPr>
      </w:pPr>
      <w:r>
        <w:rPr>
          <w:rFonts w:ascii="Arial;sans-serif" w:hAnsi="Arial;sans-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100"/>
        <w:ind w:left="0" w:right="0" w:firstLine="270"/>
        <w:jc w:val="both"/>
        <w:rPr/>
      </w:pPr>
      <w:r>
        <w:rPr/>
      </w:r>
    </w:p>
    <w:p>
      <w:pPr>
        <w:pStyle w:val="TextBody"/>
        <w:bidi w:val="0"/>
        <w:spacing w:lineRule="auto" w:line="288" w:before="100" w:after="20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00" w:after="100"/>
        <w:ind w:left="0" w:right="0" w:firstLine="27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5531" w:type="dxa"/>
        <w:jc w:val="left"/>
        <w:tblInd w:w="0" w:type="dxa"/>
        <w:tblLayout w:type="fixed"/>
        <w:tblCellMar>
          <w:top w:w="28" w:type="dxa"/>
          <w:left w:w="28" w:type="dxa"/>
          <w:bottom w:w="28" w:type="dxa"/>
          <w:right w:w="28" w:type="dxa"/>
        </w:tblCellMar>
      </w:tblPr>
      <w:tblGrid>
        <w:gridCol w:w="211"/>
        <w:gridCol w:w="186"/>
        <w:gridCol w:w="188"/>
        <w:gridCol w:w="394"/>
        <w:gridCol w:w="394"/>
        <w:gridCol w:w="396"/>
        <w:gridCol w:w="109"/>
        <w:gridCol w:w="109"/>
        <w:gridCol w:w="109"/>
        <w:gridCol w:w="1006"/>
        <w:gridCol w:w="1006"/>
        <w:gridCol w:w="142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JACK HENRY &amp; ASSOCIATES,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(Registrant)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 Mimi L. Carsley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Mimi L. Carsley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 and Treasurer</w:t>
            </w:r>
          </w:p>
        </w:tc>
      </w:tr>
    </w:tbl>
    <w:p>
      <w:pPr>
        <w:pStyle w:val="TextBody"/>
        <w:bidi w:val="0"/>
        <w:ind w:left="0" w:right="0" w:firstLine="27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630"/>
        <w:jc w:val="left"/>
        <w:rPr/>
      </w:pPr>
      <w:r>
        <w:rPr/>
        <w:drawing>
          <wp:inline distT="0" distB="0" distL="0" distR="0">
            <wp:extent cx="7772400" cy="952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80"/>
        <w:gridCol w:w="950"/>
        <w:gridCol w:w="951"/>
        <w:gridCol w:w="2114"/>
        <w:gridCol w:w="2114"/>
        <w:gridCol w:w="2996"/>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996" w:type="dxa"/>
            <w:tcBorders/>
            <w:vAlign w:val="center"/>
          </w:tcPr>
          <w:p>
            <w:pPr>
              <w:pStyle w:val="TableContents"/>
              <w:bidi w:val="0"/>
              <w:spacing w:before="0" w:after="283"/>
              <w:jc w:val="left"/>
              <w:rPr>
                <w:sz w:val="4"/>
                <w:szCs w:val="4"/>
              </w:rPr>
            </w:pPr>
            <w:r>
              <w:rPr>
                <w:sz w:val="4"/>
                <w:szCs w:val="4"/>
              </w:rPr>
            </w:r>
          </w:p>
        </w:tc>
      </w:tr>
      <w:tr>
        <w:trPr/>
        <w:tc>
          <w:tcPr>
            <w:tcW w:w="298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828800" cy="3810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28800" cy="381000"/>
                          </a:xfrm>
                          <a:prstGeom prst="rect">
                            <a:avLst/>
                          </a:prstGeom>
                        </pic:spPr>
                      </pic:pic>
                    </a:graphicData>
                  </a:graphic>
                </wp:inline>
              </w:drawing>
            </w:r>
          </w:p>
        </w:tc>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vMerge w:val="continue"/>
            <w:tcBorders/>
            <w:tcMar>
              <w:top w:w="0" w:type="dxa"/>
              <w:left w:w="0" w:type="dxa"/>
              <w:bottom w:w="0" w:type="dxa"/>
              <w:right w:w="0" w:type="dxa"/>
            </w:tcMar>
            <w:vAlign w:val="center"/>
          </w:tcPr>
          <w:p>
            <w:pPr>
              <w:pStyle w:val="Normal"/>
              <w:bidi w:val="0"/>
              <w:jc w:val="left"/>
              <w:rPr/>
            </w:pPr>
            <w:r>
              <w:rPr/>
            </w:r>
          </w:p>
        </w:tc>
        <w:tc>
          <w:tcPr>
            <w:tcW w:w="7224" w:type="dxa"/>
            <w:gridSpan w:val="3"/>
            <w:tcBorders/>
            <w:shd w:fill="085CE5"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FFFFFF"/>
                <w:sz w:val="24"/>
              </w:rPr>
            </w:pPr>
            <w:r>
              <w:rPr>
                <w:rFonts w:ascii="Poppins;sans-serif" w:hAnsi="Poppins;sans-serif"/>
                <w:b/>
                <w:color w:val="FFFFFF"/>
                <w:sz w:val="24"/>
              </w:rPr>
              <w:t>Press Release</w:t>
            </w:r>
          </w:p>
        </w:tc>
      </w:tr>
      <w:tr>
        <w:trPr/>
        <w:tc>
          <w:tcPr>
            <w:tcW w:w="2981" w:type="dxa"/>
            <w:gridSpan w:val="3"/>
            <w:vMerge w:val="continue"/>
            <w:tcBorders/>
            <w:tcMar>
              <w:top w:w="0" w:type="dxa"/>
              <w:left w:w="0" w:type="dxa"/>
              <w:bottom w:w="0" w:type="dxa"/>
              <w:right w:w="0" w:type="dxa"/>
            </w:tcMar>
            <w:vAlign w:val="center"/>
          </w:tcPr>
          <w:p>
            <w:pPr>
              <w:pStyle w:val="Normal"/>
              <w:bidi w:val="0"/>
              <w:jc w:val="left"/>
              <w:rPr/>
            </w:pPr>
            <w:r>
              <w:rPr/>
            </w:r>
          </w:p>
        </w:tc>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vMerge w:val="continue"/>
            <w:tcBorders/>
            <w:tcMar>
              <w:top w:w="0" w:type="dxa"/>
              <w:left w:w="0" w:type="dxa"/>
              <w:bottom w:w="0" w:type="dxa"/>
              <w:right w:w="0" w:type="dxa"/>
            </w:tcMar>
            <w:vAlign w:val="center"/>
          </w:tcPr>
          <w:p>
            <w:pPr>
              <w:pStyle w:val="Normal"/>
              <w:bidi w:val="0"/>
              <w:jc w:val="left"/>
              <w:rPr/>
            </w:pPr>
            <w:r>
              <w:rPr/>
            </w:r>
          </w:p>
        </w:tc>
        <w:tc>
          <w:tcPr>
            <w:tcW w:w="72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Poppins;sans-serif" w:hAnsi="Poppins;sans-serif"/>
                <w:b/>
                <w:color w:val="06185F"/>
                <w:sz w:val="20"/>
              </w:rPr>
              <w:t xml:space="preserve">Mimi L. Carsley </w:t>
            </w:r>
            <w:r>
              <w:rPr>
                <w:rFonts w:ascii="Poppins;sans-serif" w:hAnsi="Poppins;sans-serif"/>
                <w:b/>
                <w:color w:val="085CE5"/>
                <w:sz w:val="20"/>
              </w:rPr>
              <w:t>|</w:t>
            </w:r>
            <w:r>
              <w:rPr>
                <w:color w:val="06185F"/>
              </w:rPr>
              <w:t xml:space="preserve"> </w:t>
            </w:r>
            <w:r>
              <w:rPr>
                <w:rFonts w:ascii="Poppins;sans-serif" w:hAnsi="Poppins;sans-serif"/>
                <w:b/>
                <w:color w:val="06185F"/>
                <w:sz w:val="20"/>
              </w:rPr>
              <w:t xml:space="preserve">Chief Financial Officer </w:t>
            </w:r>
            <w:r>
              <w:rPr>
                <w:rFonts w:ascii="Poppins;sans-serif" w:hAnsi="Poppins;sans-serif"/>
                <w:b/>
                <w:color w:val="085CE5"/>
                <w:sz w:val="20"/>
              </w:rPr>
              <w:t>|</w:t>
            </w:r>
            <w:r>
              <w:rPr>
                <w:color w:val="06185F"/>
              </w:rPr>
              <w:t xml:space="preserve"> </w:t>
            </w:r>
            <w:r>
              <w:rPr>
                <w:rFonts w:ascii="Poppins;sans-serif" w:hAnsi="Poppins;sans-serif"/>
                <w:b/>
                <w:color w:val="06185F"/>
                <w:sz w:val="20"/>
              </w:rPr>
              <w:t>mcarsley@jackhenry.com</w:t>
            </w:r>
          </w:p>
        </w:tc>
      </w:tr>
    </w:tbl>
    <w:p>
      <w:pPr>
        <w:pStyle w:val="TextBody"/>
        <w:bidi w:val="0"/>
        <w:spacing w:before="0" w:after="0"/>
        <w:jc w:val="left"/>
        <w:rPr/>
      </w:pPr>
      <w:r>
        <w:rPr/>
      </w:r>
    </w:p>
    <w:p>
      <w:pPr>
        <w:pStyle w:val="TextBody"/>
        <w:bidi w:val="0"/>
        <w:spacing w:lineRule="auto" w:line="333" w:before="40" w:after="283"/>
        <w:jc w:val="left"/>
        <w:rPr>
          <w:rFonts w:ascii="Poppins SemiBold;sans-serif" w:hAnsi="Poppins SemiBold;sans-serif"/>
          <w:b/>
          <w:color w:val="575A5D"/>
          <w:sz w:val="18"/>
        </w:rPr>
      </w:pPr>
      <w:r>
        <w:rPr>
          <w:rFonts w:ascii="Poppins SemiBold;sans-serif" w:hAnsi="Poppins SemiBold;sans-serif"/>
          <w:b/>
          <w:color w:val="575A5D"/>
          <w:sz w:val="18"/>
        </w:rPr>
        <w:t>FOR IMMEDIATE RELEASE</w:t>
      </w:r>
    </w:p>
    <w:p>
      <w:pPr>
        <w:pStyle w:val="TextBody"/>
        <w:bidi w:val="0"/>
        <w:spacing w:lineRule="auto" w:line="288" w:before="0" w:after="0"/>
        <w:jc w:val="left"/>
        <w:rPr/>
      </w:pPr>
      <w:r>
        <w:rPr>
          <w:rFonts w:ascii="Poppins;sans-serif" w:hAnsi="Poppins;sans-serif"/>
          <w:b/>
          <w:color w:val="06185F"/>
          <w:sz w:val="28"/>
        </w:rPr>
        <w:t>Jack Henry &amp; Associates, Inc. Reports Third Quarter Fiscal 2026 Results</w:t>
        <w:br/>
      </w:r>
      <w:r>
        <w:rPr/>
        <w:drawing>
          <wp:inline distT="0" distB="0" distL="0" distR="0">
            <wp:extent cx="571500" cy="47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571500" cy="47625"/>
                    </a:xfrm>
                    <a:prstGeom prst="rect">
                      <a:avLst/>
                    </a:prstGeom>
                  </pic:spPr>
                </pic:pic>
              </a:graphicData>
            </a:graphic>
          </wp:inline>
        </w:drawing>
      </w:r>
    </w:p>
    <w:p>
      <w:pPr>
        <w:pStyle w:val="TextBody"/>
        <w:bidi w:val="0"/>
        <w:spacing w:lineRule="auto" w:line="288" w:before="60" w:after="283"/>
        <w:jc w:val="left"/>
        <w:rPr/>
      </w:pPr>
      <w:r>
        <w:rPr>
          <w:rFonts w:ascii="Poppins;sans-serif" w:hAnsi="Poppins;sans-serif"/>
          <w:b/>
          <w:color w:val="06185F"/>
          <w:sz w:val="20"/>
          <w:u w:val="single"/>
        </w:rPr>
        <w:t>Third quarter summary</w:t>
      </w:r>
      <w:r>
        <w:rPr>
          <w:rFonts w:ascii="Poppins;sans-serif" w:hAnsi="Poppins;sans-serif"/>
          <w:b/>
          <w:color w:val="06185F"/>
          <w:sz w:val="20"/>
        </w:rPr>
        <w:t>:</w:t>
      </w:r>
    </w:p>
    <w:p>
      <w:pPr>
        <w:pStyle w:val="TextBody"/>
        <w:bidi w:val="0"/>
        <w:spacing w:lineRule="auto" w:line="288" w:before="60" w:after="40"/>
        <w:ind w:left="0" w:right="0" w:hanging="360"/>
        <w:jc w:val="both"/>
        <w:rPr>
          <w:color w:val="000000"/>
        </w:rPr>
      </w:pPr>
      <w:r>
        <w:rPr>
          <w:color w:val="000000"/>
        </w:rPr>
        <w:t>•     </w:t>
      </w:r>
      <w:r>
        <w:rPr>
          <w:rFonts w:ascii="Poppins;sans-serif" w:hAnsi="Poppins;sans-serif"/>
          <w:b w:val="false"/>
          <w:color w:val="000000"/>
          <w:sz w:val="18"/>
        </w:rPr>
        <w:t>GAAP revenue increased 8.7% and GAAP operating income increased 11.8% for the fiscal three months ended March 31, 2026, compared to the prior fiscal year quarter.</w:t>
      </w:r>
    </w:p>
    <w:p>
      <w:pPr>
        <w:pStyle w:val="TextBody"/>
        <w:bidi w:val="0"/>
        <w:spacing w:lineRule="auto" w:line="288" w:before="0" w:after="40"/>
        <w:ind w:left="0" w:right="0" w:hanging="360"/>
        <w:jc w:val="both"/>
        <w:rPr/>
      </w:pPr>
      <w:r>
        <w:rPr>
          <w:color w:val="000000"/>
        </w:rPr>
        <w:t>•     </w:t>
      </w:r>
      <w:r>
        <w:rPr>
          <w:rFonts w:ascii="Poppins;sans-serif" w:hAnsi="Poppins;sans-serif"/>
          <w:b w:val="false"/>
          <w:color w:val="000000"/>
          <w:sz w:val="18"/>
        </w:rPr>
        <w:t>Non-GAAP adjusted revenue increased 7.3% and non-GAAP adjusted operating income increased 7.3% for the fiscal three months ended March 31, 2026, compared to the prior fiscal year quarter.</w:t>
      </w:r>
      <w:r>
        <w:rPr>
          <w:rFonts w:ascii="Poppins;sans-serif" w:hAnsi="Poppins;sans-serif"/>
          <w:b w:val="false"/>
          <w:color w:val="000000"/>
          <w:sz w:val="12"/>
        </w:rPr>
        <w:t>1</w:t>
      </w:r>
    </w:p>
    <w:p>
      <w:pPr>
        <w:pStyle w:val="TextBody"/>
        <w:bidi w:val="0"/>
        <w:spacing w:lineRule="auto" w:line="288" w:before="0" w:after="40"/>
        <w:ind w:left="0" w:right="0" w:hanging="360"/>
        <w:jc w:val="both"/>
        <w:rPr/>
      </w:pPr>
      <w:r>
        <w:rPr>
          <w:color w:val="000000"/>
        </w:rPr>
        <w:t>•</w:t>
      </w:r>
      <w:r>
        <w:rPr>
          <w:rFonts w:ascii="Poppins;sans-serif" w:hAnsi="Poppins;sans-serif"/>
          <w:b w:val="false"/>
          <w:color w:val="000000"/>
          <w:sz w:val="18"/>
        </w:rPr>
        <w:t>GAAP EPS was $1.71 per diluted share for the fiscal three months ended March 31, 2026, compared to $1.52 per diluted share in the prior fiscal year quarter representing growth of 12.2%.</w:t>
      </w:r>
    </w:p>
    <w:p>
      <w:pPr>
        <w:pStyle w:val="TextBody"/>
        <w:bidi w:val="0"/>
        <w:spacing w:lineRule="auto" w:line="288" w:before="0" w:after="40"/>
        <w:ind w:left="0" w:right="0" w:hanging="360"/>
        <w:jc w:val="both"/>
        <w:rPr/>
      </w:pPr>
      <w:r>
        <w:rPr>
          <w:color w:val="000000"/>
        </w:rPr>
        <w:t>•</w:t>
      </w:r>
      <w:r>
        <w:rPr>
          <w:rFonts w:ascii="Poppins;sans-serif" w:hAnsi="Poppins;sans-serif"/>
          <w:b w:val="false"/>
          <w:color w:val="000000"/>
          <w:sz w:val="18"/>
        </w:rPr>
        <w:t>Stock repurchases for the fiscal three months ended March 31, 2026, were $159 million at an average of $162 per share.</w:t>
      </w:r>
    </w:p>
    <w:p>
      <w:pPr>
        <w:pStyle w:val="TextBody"/>
        <w:bidi w:val="0"/>
        <w:spacing w:lineRule="auto" w:line="288" w:before="60" w:after="283"/>
        <w:jc w:val="left"/>
        <w:rPr/>
      </w:pPr>
      <w:r>
        <w:rPr>
          <w:rFonts w:ascii="Poppins;sans-serif" w:hAnsi="Poppins;sans-serif"/>
          <w:b/>
          <w:color w:val="06185F"/>
          <w:sz w:val="18"/>
          <w:u w:val="single"/>
        </w:rPr>
        <w:t>Fiscal year-to-date summary</w:t>
      </w:r>
      <w:r>
        <w:rPr>
          <w:rFonts w:ascii="Poppins;sans-serif" w:hAnsi="Poppins;sans-serif"/>
          <w:b/>
          <w:color w:val="06185F"/>
          <w:sz w:val="18"/>
        </w:rPr>
        <w:t>:</w:t>
      </w:r>
    </w:p>
    <w:p>
      <w:pPr>
        <w:pStyle w:val="TextBody"/>
        <w:bidi w:val="0"/>
        <w:spacing w:lineRule="auto" w:line="288" w:before="60" w:after="40"/>
        <w:ind w:left="0" w:right="0" w:hanging="360"/>
        <w:jc w:val="both"/>
        <w:rPr>
          <w:color w:val="000000"/>
        </w:rPr>
      </w:pPr>
      <w:r>
        <w:rPr>
          <w:color w:val="000000"/>
        </w:rPr>
        <w:t>•     </w:t>
      </w:r>
      <w:r>
        <w:rPr>
          <w:rFonts w:ascii="Poppins;sans-serif" w:hAnsi="Poppins;sans-serif"/>
          <w:b w:val="false"/>
          <w:color w:val="000000"/>
          <w:sz w:val="18"/>
        </w:rPr>
        <w:t>GAAP revenue increased 8.0% and GAAP operating income increased 20.6% for the fiscal year-to-date period ended March 31, 2026, compared to the prior fiscal year-to-date period.</w:t>
      </w:r>
    </w:p>
    <w:p>
      <w:pPr>
        <w:pStyle w:val="TextBody"/>
        <w:bidi w:val="0"/>
        <w:spacing w:lineRule="auto" w:line="288" w:before="0" w:after="40"/>
        <w:ind w:left="0" w:right="0" w:hanging="360"/>
        <w:jc w:val="both"/>
        <w:rPr/>
      </w:pPr>
      <w:r>
        <w:rPr>
          <w:color w:val="000000"/>
        </w:rPr>
        <w:t>•     </w:t>
      </w:r>
      <w:r>
        <w:rPr>
          <w:rFonts w:ascii="Poppins;sans-serif" w:hAnsi="Poppins;sans-serif"/>
          <w:b w:val="false"/>
          <w:color w:val="000000"/>
          <w:sz w:val="18"/>
        </w:rPr>
        <w:t>Non-GAAP adjusted revenue increased 7.6% and non-GAAP adjusted operating income increased 16.7% for the fiscal year-to-date period ended March 31, 2026, compared to the prior fiscal year-to-date period.</w:t>
      </w:r>
      <w:r>
        <w:rPr>
          <w:rFonts w:ascii="Poppins;sans-serif" w:hAnsi="Poppins;sans-serif"/>
          <w:b w:val="false"/>
          <w:color w:val="000000"/>
          <w:sz w:val="12"/>
        </w:rPr>
        <w:t>1</w:t>
      </w:r>
    </w:p>
    <w:p>
      <w:pPr>
        <w:pStyle w:val="TextBody"/>
        <w:bidi w:val="0"/>
        <w:spacing w:lineRule="auto" w:line="288" w:before="0" w:after="40"/>
        <w:ind w:left="0" w:right="0" w:hanging="360"/>
        <w:jc w:val="both"/>
        <w:rPr>
          <w:color w:val="000000"/>
        </w:rPr>
      </w:pPr>
      <w:r>
        <w:rPr>
          <w:color w:val="000000"/>
        </w:rPr>
        <w:t>•     </w:t>
      </w:r>
      <w:r>
        <w:rPr>
          <w:rFonts w:ascii="Poppins;sans-serif" w:hAnsi="Poppins;sans-serif"/>
          <w:b w:val="false"/>
          <w:color w:val="000000"/>
          <w:sz w:val="18"/>
        </w:rPr>
        <w:t>GAAP EPS was $5.41 per diluted share for the fiscal year-to-date period ended March 31, 2026, compared to $4.49 per diluted share in the prior fiscal year-to-date period representing growth of 20.4%.</w:t>
      </w:r>
    </w:p>
    <w:p>
      <w:pPr>
        <w:pStyle w:val="TextBody"/>
        <w:bidi w:val="0"/>
        <w:spacing w:lineRule="auto" w:line="288" w:before="60" w:after="40"/>
        <w:ind w:left="0" w:right="0" w:hanging="360"/>
        <w:jc w:val="both"/>
        <w:rPr>
          <w:color w:val="000000"/>
        </w:rPr>
      </w:pPr>
      <w:r>
        <w:rPr>
          <w:color w:val="000000"/>
        </w:rPr>
        <w:t>•     </w:t>
      </w:r>
      <w:r>
        <w:rPr>
          <w:rFonts w:ascii="Poppins;sans-serif" w:hAnsi="Poppins;sans-serif"/>
          <w:b w:val="false"/>
          <w:color w:val="000000"/>
          <w:sz w:val="18"/>
        </w:rPr>
        <w:t>Cash and cash equivalents were $20.6 million at March 31, 2026, and $39.9 million at March 31, 2025.</w:t>
      </w:r>
    </w:p>
    <w:p>
      <w:pPr>
        <w:pStyle w:val="TextBody"/>
        <w:bidi w:val="0"/>
        <w:spacing w:lineRule="auto" w:line="288" w:before="0" w:after="0"/>
        <w:ind w:left="0" w:right="0" w:hanging="360"/>
        <w:jc w:val="both"/>
        <w:rPr>
          <w:color w:val="000000"/>
        </w:rPr>
      </w:pPr>
      <w:r>
        <w:rPr>
          <w:color w:val="000000"/>
        </w:rPr>
        <w:t>•    </w:t>
      </w:r>
      <w:r>
        <w:rPr>
          <w:rFonts w:ascii="Poppins;sans-serif" w:hAnsi="Poppins;sans-serif"/>
          <w:b w:val="false"/>
          <w:color w:val="000000"/>
          <w:sz w:val="18"/>
        </w:rPr>
        <w:t>Debt outstanding for credit facilities was $90 million at March 31, 2026, and $170 million at March 31, 2025.</w:t>
      </w:r>
    </w:p>
    <w:p>
      <w:pPr>
        <w:pStyle w:val="TextBody"/>
        <w:bidi w:val="0"/>
        <w:spacing w:lineRule="auto" w:line="288" w:before="0" w:after="0"/>
        <w:ind w:left="0" w:right="0" w:hanging="360"/>
        <w:jc w:val="both"/>
        <w:rPr/>
      </w:pPr>
      <w:r>
        <w:rPr>
          <w:color w:val="000000"/>
        </w:rPr>
        <w:t>•</w:t>
      </w:r>
      <w:r>
        <w:rPr>
          <w:rFonts w:ascii="Poppins;sans-serif" w:hAnsi="Poppins;sans-serif"/>
          <w:b w:val="false"/>
          <w:color w:val="000000"/>
          <w:sz w:val="18"/>
        </w:rPr>
        <w:t>Stock repurchases for fiscal year-to-date period ended March 31, 2026, were $284 million at an average of $160 per share.</w:t>
      </w:r>
    </w:p>
    <w:p>
      <w:pPr>
        <w:pStyle w:val="TextBody"/>
        <w:bidi w:val="0"/>
        <w:spacing w:lineRule="auto" w:line="288" w:before="120" w:after="283"/>
        <w:jc w:val="both"/>
        <w:rPr>
          <w:rFonts w:ascii="Poppins;sans-serif" w:hAnsi="Poppins;sans-serif"/>
          <w:b/>
          <w:color w:val="06185F"/>
          <w:sz w:val="20"/>
          <w:u w:val="single"/>
        </w:rPr>
      </w:pPr>
      <w:r>
        <w:rPr>
          <w:rFonts w:ascii="Poppins;sans-serif" w:hAnsi="Poppins;sans-serif"/>
          <w:b/>
          <w:color w:val="06185F"/>
          <w:sz w:val="20"/>
          <w:u w:val="single"/>
        </w:rPr>
        <w:t>Compared to the same period in the prior fiscal year:</w:t>
      </w:r>
    </w:p>
    <w:tbl>
      <w:tblPr>
        <w:tblW w:w="9322" w:type="dxa"/>
        <w:jc w:val="left"/>
        <w:tblInd w:w="0" w:type="dxa"/>
        <w:tblLayout w:type="fixed"/>
        <w:tblCellMar>
          <w:top w:w="28" w:type="dxa"/>
          <w:left w:w="28" w:type="dxa"/>
          <w:bottom w:w="28" w:type="dxa"/>
          <w:right w:w="28" w:type="dxa"/>
        </w:tblCellMar>
      </w:tblPr>
      <w:tblGrid>
        <w:gridCol w:w="262"/>
        <w:gridCol w:w="230"/>
        <w:gridCol w:w="230"/>
        <w:gridCol w:w="230"/>
        <w:gridCol w:w="230"/>
        <w:gridCol w:w="230"/>
        <w:gridCol w:w="403"/>
        <w:gridCol w:w="403"/>
        <w:gridCol w:w="425"/>
        <w:gridCol w:w="109"/>
        <w:gridCol w:w="109"/>
        <w:gridCol w:w="109"/>
        <w:gridCol w:w="540"/>
        <w:gridCol w:w="540"/>
        <w:gridCol w:w="540"/>
        <w:gridCol w:w="540"/>
        <w:gridCol w:w="540"/>
        <w:gridCol w:w="551"/>
        <w:gridCol w:w="109"/>
        <w:gridCol w:w="109"/>
        <w:gridCol w:w="109"/>
        <w:gridCol w:w="455"/>
        <w:gridCol w:w="455"/>
        <w:gridCol w:w="455"/>
        <w:gridCol w:w="408"/>
        <w:gridCol w:w="408"/>
        <w:gridCol w:w="593"/>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20"/>
              </w:rPr>
            </w:pPr>
            <w:r>
              <w:rPr>
                <w:rFonts w:ascii="Poppins;sans-serif" w:hAnsi="Poppins;sans-serif"/>
                <w:b/>
                <w:color w:val="000000"/>
                <w:sz w:val="20"/>
              </w:rPr>
              <w:t>Third Qtr Revenue</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325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20"/>
              </w:rPr>
            </w:pPr>
            <w:r>
              <w:rPr>
                <w:rFonts w:ascii="Poppins;sans-serif" w:hAnsi="Poppins;sans-serif"/>
                <w:b/>
                <w:color w:val="000000"/>
                <w:sz w:val="20"/>
              </w:rPr>
              <w:t>Third Qtr Operating Income</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774" w:type="dxa"/>
            <w:gridSpan w:val="6"/>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center"/>
              <w:rPr>
                <w:rFonts w:ascii="Poppins;sans-serif" w:hAnsi="Poppins;sans-serif"/>
                <w:b/>
                <w:color w:val="000000"/>
                <w:sz w:val="20"/>
              </w:rPr>
            </w:pPr>
            <w:r>
              <w:rPr>
                <w:rFonts w:ascii="Poppins;sans-serif" w:hAnsi="Poppins;sans-serif"/>
                <w:b/>
                <w:color w:val="000000"/>
                <w:sz w:val="20"/>
              </w:rPr>
              <w:t>FY'26 YTD Net Income</w:t>
            </w:r>
          </w:p>
        </w:tc>
      </w:tr>
      <w:tr>
        <w:trPr/>
        <w:tc>
          <w:tcPr>
            <w:tcW w:w="2643" w:type="dxa"/>
            <w:gridSpan w:val="9"/>
            <w:tcBorders>
              <w:left w:val="single" w:sz="8"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571500" cy="47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571500" cy="47625"/>
                          </a:xfrm>
                          <a:prstGeom prst="rect">
                            <a:avLst/>
                          </a:prstGeom>
                        </pic:spPr>
                      </pic:pic>
                    </a:graphicData>
                  </a:graphic>
                </wp:inline>
              </w:drawing>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 cy="47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571500" cy="47625"/>
                          </a:xfrm>
                          <a:prstGeom prst="rect">
                            <a:avLst/>
                          </a:prstGeom>
                        </pic:spPr>
                      </pic:pic>
                    </a:graphicData>
                  </a:graphic>
                </wp:inline>
              </w:drawing>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774" w:type="dxa"/>
            <w:gridSpan w:val="6"/>
            <w:tcBorders>
              <w:right w:val="single" w:sz="8" w:space="0" w:color="000000"/>
            </w:tcBorders>
            <w:tcMar>
              <w:top w:w="0" w:type="dxa"/>
              <w:left w:w="0" w:type="dxa"/>
              <w:bottom w:w="0" w:type="dxa"/>
            </w:tcMar>
            <w:vAlign w:val="center"/>
          </w:tcPr>
          <w:p>
            <w:pPr>
              <w:pStyle w:val="TableContents"/>
              <w:bidi w:val="0"/>
              <w:spacing w:before="0" w:after="0"/>
              <w:jc w:val="center"/>
              <w:rPr/>
            </w:pPr>
            <w:r>
              <w:rPr/>
              <w:drawing>
                <wp:inline distT="0" distB="0" distL="0" distR="0">
                  <wp:extent cx="571500" cy="47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571500" cy="47625"/>
                          </a:xfrm>
                          <a:prstGeom prst="rect">
                            <a:avLst/>
                          </a:prstGeom>
                        </pic:spPr>
                      </pic:pic>
                    </a:graphicData>
                  </a:graphic>
                </wp:inline>
              </w:drawing>
            </w:r>
          </w:p>
        </w:tc>
      </w:tr>
      <w:tr>
        <w:trPr/>
        <w:tc>
          <w:tcPr>
            <w:tcW w:w="1412"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GAAP</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Poppins;sans-serif" w:hAnsi="Poppins;sans-serif"/>
                <w:b/>
                <w:color w:val="06185F"/>
                <w:sz w:val="18"/>
              </w:rPr>
              <w:t>Non-GAAP</w:t>
            </w:r>
            <w:r>
              <w:rPr>
                <w:rFonts w:ascii="Poppins;sans-serif" w:hAnsi="Poppins;sans-serif"/>
                <w:b/>
                <w:color w:val="06185F"/>
                <w:sz w:val="12"/>
              </w:rPr>
              <w:t>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GAAP</w:t>
            </w:r>
          </w:p>
        </w:tc>
        <w:tc>
          <w:tcPr>
            <w:tcW w:w="16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Poppins;sans-serif" w:hAnsi="Poppins;sans-serif"/>
                <w:b/>
                <w:color w:val="06185F"/>
                <w:sz w:val="18"/>
              </w:rPr>
              <w:t>Non-GAAP</w:t>
            </w:r>
            <w:r>
              <w:rPr>
                <w:rFonts w:ascii="Poppins;sans-serif" w:hAnsi="Poppins;sans-serif"/>
                <w:b/>
                <w:color w:val="06185F"/>
                <w:sz w:val="12"/>
              </w:rPr>
              <w:t>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GAAP</w:t>
            </w:r>
          </w:p>
        </w:tc>
        <w:tc>
          <w:tcPr>
            <w:tcW w:w="1409"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0"/>
              <w:jc w:val="center"/>
              <w:rPr/>
            </w:pPr>
            <w:r>
              <w:rPr>
                <w:rFonts w:ascii="Poppins;sans-serif" w:hAnsi="Poppins;sans-serif"/>
                <w:b/>
                <w:color w:val="06185F"/>
                <w:sz w:val="18"/>
              </w:rPr>
              <w:t>Non-GAAP</w:t>
            </w:r>
            <w:r>
              <w:rPr>
                <w:rFonts w:ascii="Poppins;sans-serif" w:hAnsi="Poppins;sans-serif"/>
                <w:b/>
                <w:color w:val="06185F"/>
                <w:sz w:val="12"/>
              </w:rPr>
              <w:t>1</w:t>
            </w:r>
          </w:p>
        </w:tc>
      </w:tr>
      <w:tr>
        <w:trPr/>
        <w:tc>
          <w:tcPr>
            <w:tcW w:w="1412"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c>
          <w:tcPr>
            <w:tcW w:w="1409"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r>
      <w:tr>
        <w:trPr/>
        <w:tc>
          <w:tcPr>
            <w:tcW w:w="1412" w:type="dxa"/>
            <w:gridSpan w:val="6"/>
            <w:vMerge w:val="restart"/>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8.7%</w:t>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7.3%</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11.8%</w:t>
            </w:r>
          </w:p>
        </w:tc>
        <w:tc>
          <w:tcPr>
            <w:tcW w:w="16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7.3%</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3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19.3%</w:t>
            </w:r>
          </w:p>
        </w:tc>
        <w:tc>
          <w:tcPr>
            <w:tcW w:w="1409" w:type="dxa"/>
            <w:gridSpan w:val="3"/>
            <w:vMerge w:val="restart"/>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15.5%</w:t>
            </w:r>
          </w:p>
        </w:tc>
      </w:tr>
      <w:tr>
        <w:trPr/>
        <w:tc>
          <w:tcPr>
            <w:tcW w:w="1412" w:type="dxa"/>
            <w:gridSpan w:val="6"/>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20" w:type="dxa"/>
            <w:gridSpan w:val="3"/>
            <w:vMerge w:val="continue"/>
            <w:tcBorders/>
            <w:tcMar>
              <w:top w:w="0" w:type="dxa"/>
              <w:left w:w="0" w:type="dxa"/>
              <w:bottom w:w="0" w:type="dxa"/>
              <w:right w:w="0" w:type="dxa"/>
            </w:tcMar>
            <w:vAlign w:val="center"/>
          </w:tcPr>
          <w:p>
            <w:pPr>
              <w:pStyle w:val="Normal"/>
              <w:bidi w:val="0"/>
              <w:jc w:val="left"/>
              <w:rPr/>
            </w:pPr>
            <w:r>
              <w:rPr/>
            </w:r>
          </w:p>
        </w:tc>
        <w:tc>
          <w:tcPr>
            <w:tcW w:w="16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365" w:type="dxa"/>
            <w:gridSpan w:val="3"/>
            <w:vMerge w:val="continue"/>
            <w:tcBorders/>
            <w:tcMar>
              <w:top w:w="0" w:type="dxa"/>
              <w:left w:w="0" w:type="dxa"/>
              <w:bottom w:w="0" w:type="dxa"/>
              <w:right w:w="0" w:type="dxa"/>
            </w:tcMar>
            <w:vAlign w:val="center"/>
          </w:tcPr>
          <w:p>
            <w:pPr>
              <w:pStyle w:val="Normal"/>
              <w:bidi w:val="0"/>
              <w:jc w:val="left"/>
              <w:rPr/>
            </w:pPr>
            <w:r>
              <w:rPr/>
            </w:r>
          </w:p>
        </w:tc>
        <w:tc>
          <w:tcPr>
            <w:tcW w:w="1409" w:type="dxa"/>
            <w:gridSpan w:val="3"/>
            <w:vMerge w:val="continue"/>
            <w:tcBorders>
              <w:right w:val="single" w:sz="8" w:space="0" w:color="000000"/>
            </w:tcBorders>
            <w:tcMar>
              <w:top w:w="0" w:type="dxa"/>
              <w:left w:w="0" w:type="dxa"/>
              <w:bottom w:w="0" w:type="dxa"/>
            </w:tcMar>
            <w:vAlign w:val="center"/>
          </w:tcPr>
          <w:p>
            <w:pPr>
              <w:pStyle w:val="Normal"/>
              <w:bidi w:val="0"/>
              <w:jc w:val="left"/>
              <w:rPr/>
            </w:pPr>
            <w:r>
              <w:rPr/>
            </w:r>
          </w:p>
        </w:tc>
      </w:tr>
      <w:tr>
        <w:trPr/>
        <w:tc>
          <w:tcPr>
            <w:tcW w:w="72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2643"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20"/>
              </w:rPr>
            </w:pPr>
            <w:r>
              <w:rPr>
                <w:rFonts w:ascii="Poppins;sans-serif" w:hAnsi="Poppins;sans-serif"/>
                <w:b/>
                <w:color w:val="000000"/>
                <w:sz w:val="20"/>
              </w:rPr>
              <w:t>FY'26 YTD Revenue</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20"/>
              </w:rPr>
            </w:pPr>
            <w:r>
              <w:rPr>
                <w:rFonts w:ascii="Poppins;sans-serif" w:hAnsi="Poppins;sans-serif"/>
                <w:b/>
                <w:color w:val="000000"/>
                <w:sz w:val="20"/>
              </w:rPr>
              <w:t>FY'26 YTD Operating Income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Poppins;sans-serif" w:hAnsi="Poppins;sans-serif"/>
                <w:b/>
                <w:color w:val="000000"/>
                <w:sz w:val="20"/>
              </w:rPr>
            </w:pPr>
            <w:r>
              <w:rPr>
                <w:rFonts w:ascii="Poppins;sans-serif" w:hAnsi="Poppins;sans-serif"/>
                <w:b/>
                <w:color w:val="000000"/>
                <w:sz w:val="20"/>
              </w:rPr>
              <w:t>FY'26 YTD EBITDA</w:t>
            </w:r>
          </w:p>
        </w:tc>
      </w:tr>
      <w:tr>
        <w:trPr/>
        <w:tc>
          <w:tcPr>
            <w:tcW w:w="2643" w:type="dxa"/>
            <w:gridSpan w:val="9"/>
            <w:tcBorders>
              <w:left w:val="single" w:sz="8" w:space="0" w:color="000000"/>
            </w:tcBorders>
            <w:tcMar>
              <w:top w:w="0" w:type="dxa"/>
              <w:bottom w:w="0" w:type="dxa"/>
              <w:right w:w="0" w:type="dxa"/>
            </w:tcMar>
            <w:vAlign w:val="center"/>
          </w:tcPr>
          <w:p>
            <w:pPr>
              <w:pStyle w:val="TableContents"/>
              <w:bidi w:val="0"/>
              <w:spacing w:before="0" w:after="0"/>
              <w:jc w:val="center"/>
              <w:rPr/>
            </w:pPr>
            <w:r>
              <w:rPr/>
              <w:drawing>
                <wp:inline distT="0" distB="0" distL="0" distR="0">
                  <wp:extent cx="571500" cy="47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571500" cy="47625"/>
                          </a:xfrm>
                          <a:prstGeom prst="rect">
                            <a:avLst/>
                          </a:prstGeom>
                        </pic:spPr>
                      </pic:pic>
                    </a:graphicData>
                  </a:graphic>
                </wp:inline>
              </w:drawing>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3251"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 cy="47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571500" cy="47625"/>
                          </a:xfrm>
                          <a:prstGeom prst="rect">
                            <a:avLst/>
                          </a:prstGeom>
                        </pic:spPr>
                      </pic:pic>
                    </a:graphicData>
                  </a:graphic>
                </wp:inline>
              </w:drawing>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774" w:type="dxa"/>
            <w:gridSpan w:val="6"/>
            <w:tcBorders>
              <w:right w:val="single" w:sz="8" w:space="0" w:color="000000"/>
            </w:tcBorders>
            <w:tcMar>
              <w:top w:w="0" w:type="dxa"/>
              <w:left w:w="0" w:type="dxa"/>
              <w:bottom w:w="0" w:type="dxa"/>
            </w:tcMar>
            <w:vAlign w:val="center"/>
          </w:tcPr>
          <w:p>
            <w:pPr>
              <w:pStyle w:val="TableContents"/>
              <w:bidi w:val="0"/>
              <w:spacing w:before="0" w:after="0"/>
              <w:jc w:val="center"/>
              <w:rPr/>
            </w:pPr>
            <w:r>
              <w:rPr/>
              <w:drawing>
                <wp:inline distT="0" distB="0" distL="0" distR="0">
                  <wp:extent cx="571500" cy="47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571500" cy="47625"/>
                          </a:xfrm>
                          <a:prstGeom prst="rect">
                            <a:avLst/>
                          </a:prstGeom>
                        </pic:spPr>
                      </pic:pic>
                    </a:graphicData>
                  </a:graphic>
                </wp:inline>
              </w:drawing>
            </w:r>
          </w:p>
        </w:tc>
      </w:tr>
      <w:tr>
        <w:trPr/>
        <w:tc>
          <w:tcPr>
            <w:tcW w:w="1412"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GAAP</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Poppins;sans-serif" w:hAnsi="Poppins;sans-serif"/>
                <w:b/>
                <w:color w:val="06185F"/>
                <w:sz w:val="18"/>
              </w:rPr>
              <w:t>Non-GAAP</w:t>
            </w:r>
            <w:r>
              <w:rPr>
                <w:rFonts w:ascii="Poppins;sans-serif" w:hAnsi="Poppins;sans-serif"/>
                <w:b/>
                <w:color w:val="06185F"/>
                <w:sz w:val="12"/>
              </w:rPr>
              <w:t>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GAAP</w:t>
            </w:r>
          </w:p>
        </w:tc>
        <w:tc>
          <w:tcPr>
            <w:tcW w:w="16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Poppins;sans-serif" w:hAnsi="Poppins;sans-serif"/>
                <w:b/>
                <w:color w:val="06185F"/>
                <w:sz w:val="18"/>
              </w:rPr>
              <w:t>Non-GAAP</w:t>
            </w:r>
            <w:r>
              <w:rPr>
                <w:rFonts w:ascii="Poppins;sans-serif" w:hAnsi="Poppins;sans-serif"/>
                <w:b/>
                <w:color w:val="06185F"/>
                <w:sz w:val="12"/>
              </w:rPr>
              <w:t>1</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774" w:type="dxa"/>
            <w:gridSpan w:val="6"/>
            <w:tcBorders>
              <w:right w:val="single" w:sz="8" w:space="0" w:color="000000"/>
            </w:tcBorders>
            <w:tcMar>
              <w:top w:w="0" w:type="dxa"/>
              <w:left w:w="0" w:type="dxa"/>
              <w:bottom w:w="0" w:type="dxa"/>
            </w:tcMar>
            <w:vAlign w:val="center"/>
          </w:tcPr>
          <w:p>
            <w:pPr>
              <w:pStyle w:val="TableContents"/>
              <w:bidi w:val="0"/>
              <w:spacing w:lineRule="auto" w:line="240" w:before="0" w:after="0"/>
              <w:jc w:val="center"/>
              <w:rPr/>
            </w:pPr>
            <w:r>
              <w:rPr>
                <w:rFonts w:ascii="Poppins;sans-serif" w:hAnsi="Poppins;sans-serif"/>
                <w:b/>
                <w:color w:val="06185F"/>
                <w:sz w:val="18"/>
              </w:rPr>
              <w:t>Non-GAAP</w:t>
            </w:r>
            <w:r>
              <w:rPr>
                <w:rFonts w:ascii="Poppins;sans-serif" w:hAnsi="Poppins;sans-serif"/>
                <w:b/>
                <w:color w:val="06185F"/>
                <w:sz w:val="12"/>
              </w:rPr>
              <w:t>2</w:t>
            </w:r>
          </w:p>
        </w:tc>
      </w:tr>
      <w:tr>
        <w:trPr/>
        <w:tc>
          <w:tcPr>
            <w:tcW w:w="1412"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774" w:type="dxa"/>
            <w:gridSpan w:val="6"/>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Poppins;sans-serif" w:hAnsi="Poppins;sans-serif"/>
                <w:b/>
                <w:color w:val="06185F"/>
                <w:sz w:val="18"/>
              </w:rPr>
            </w:pPr>
            <w:r>
              <w:rPr>
                <w:rFonts w:ascii="Poppins;sans-serif" w:hAnsi="Poppins;sans-serif"/>
                <w:b/>
                <w:color w:val="06185F"/>
                <w:sz w:val="18"/>
              </w:rPr>
              <w:t>increased</w:t>
            </w:r>
          </w:p>
        </w:tc>
      </w:tr>
      <w:tr>
        <w:trPr/>
        <w:tc>
          <w:tcPr>
            <w:tcW w:w="1412" w:type="dxa"/>
            <w:gridSpan w:val="6"/>
            <w:vMerge w:val="restart"/>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8.0%</w:t>
            </w:r>
          </w:p>
        </w:tc>
        <w:tc>
          <w:tcPr>
            <w:tcW w:w="1231" w:type="dxa"/>
            <w:gridSpan w:val="3"/>
            <w:vMerge w:val="restart"/>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7.6%</w:t>
            </w:r>
          </w:p>
        </w:tc>
        <w:tc>
          <w:tcPr>
            <w:tcW w:w="327" w:type="dxa"/>
            <w:gridSpan w:val="3"/>
            <w:vMerge w:val="restart"/>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620"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20.6%</w:t>
            </w:r>
          </w:p>
        </w:tc>
        <w:tc>
          <w:tcPr>
            <w:tcW w:w="16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16.7%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6"/>
            <w:vMerge w:val="restart"/>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Poppins;sans-serif" w:hAnsi="Poppins;sans-serif"/>
                <w:b/>
                <w:color w:val="06185F"/>
                <w:sz w:val="36"/>
              </w:rPr>
            </w:pPr>
            <w:r>
              <w:rPr>
                <w:rFonts w:ascii="Poppins;sans-serif" w:hAnsi="Poppins;sans-serif"/>
                <w:b/>
                <w:color w:val="06185F"/>
                <w:sz w:val="36"/>
              </w:rPr>
              <w:t>12.9%</w:t>
            </w:r>
          </w:p>
        </w:tc>
      </w:tr>
      <w:tr>
        <w:trPr/>
        <w:tc>
          <w:tcPr>
            <w:tcW w:w="1412" w:type="dxa"/>
            <w:gridSpan w:val="6"/>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231" w:type="dxa"/>
            <w:gridSpan w:val="3"/>
            <w:vMerge w:val="continue"/>
            <w:tcBorders>
              <w:right w:val="single" w:sz="8" w:space="0" w:color="000000"/>
            </w:tcBorders>
            <w:tcMar>
              <w:top w:w="0" w:type="dxa"/>
              <w:left w:w="0" w:type="dxa"/>
              <w:bottom w:w="0" w:type="dxa"/>
            </w:tcMar>
            <w:vAlign w:val="center"/>
          </w:tcPr>
          <w:p>
            <w:pPr>
              <w:pStyle w:val="Normal"/>
              <w:bidi w:val="0"/>
              <w:jc w:val="left"/>
              <w:rPr/>
            </w:pPr>
            <w:r>
              <w:rPr/>
            </w:r>
          </w:p>
        </w:tc>
        <w:tc>
          <w:tcPr>
            <w:tcW w:w="327" w:type="dxa"/>
            <w:gridSpan w:val="3"/>
            <w:vMerge w:val="continue"/>
            <w:tcBorders>
              <w:left w:val="single" w:sz="8" w:space="0" w:color="000000"/>
              <w:right w:val="single" w:sz="8" w:space="0" w:color="000000"/>
            </w:tcBorders>
            <w:tcMar>
              <w:top w:w="0" w:type="dxa"/>
              <w:bottom w:w="0" w:type="dxa"/>
            </w:tcMar>
            <w:vAlign w:val="center"/>
          </w:tcPr>
          <w:p>
            <w:pPr>
              <w:pStyle w:val="Normal"/>
              <w:bidi w:val="0"/>
              <w:jc w:val="left"/>
              <w:rPr/>
            </w:pPr>
            <w:r>
              <w:rPr/>
            </w:r>
          </w:p>
        </w:tc>
        <w:tc>
          <w:tcPr>
            <w:tcW w:w="1620"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6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774" w:type="dxa"/>
            <w:gridSpan w:val="6"/>
            <w:vMerge w:val="continue"/>
            <w:tcBorders>
              <w:left w:val="single" w:sz="8" w:space="0" w:color="000000"/>
              <w:right w:val="single" w:sz="8" w:space="0" w:color="000000"/>
            </w:tcBorders>
            <w:tcMar>
              <w:top w:w="0" w:type="dxa"/>
              <w:bottom w:w="0" w:type="dxa"/>
            </w:tcMar>
            <w:vAlign w:val="center"/>
          </w:tcPr>
          <w:p>
            <w:pPr>
              <w:pStyle w:val="Normal"/>
              <w:bidi w:val="0"/>
              <w:jc w:val="left"/>
              <w:rPr/>
            </w:pPr>
            <w:r>
              <w:rPr/>
            </w:r>
          </w:p>
        </w:tc>
      </w:tr>
      <w:tr>
        <w:trPr/>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Poppins;sans-serif" w:hAnsi="Poppins;sans-serif"/>
          <w:b/>
          <w:color w:val="06185F"/>
          <w:sz w:val="20"/>
          <w:u w:val="single"/>
        </w:rPr>
        <w:t>Full year fiscal 2026 guidance (Dollars in millions)</w:t>
      </w:r>
      <w:r>
        <w:rPr>
          <w:rFonts w:ascii="Poppins;sans-serif" w:hAnsi="Poppins;sans-serif"/>
          <w:b/>
          <w:color w:val="06185F"/>
          <w:sz w:val="20"/>
        </w:rPr>
        <w:t>:</w:t>
      </w:r>
      <w:r>
        <w:rPr>
          <w:rFonts w:ascii="Poppins;sans-serif" w:hAnsi="Poppins;sans-serif"/>
          <w:b/>
          <w:color w:val="06185F"/>
          <w:sz w:val="13"/>
        </w:rPr>
        <w:t xml:space="preserve">3 </w:t>
      </w:r>
    </w:p>
    <w:tbl>
      <w:tblPr>
        <w:tblW w:w="4633" w:type="dxa"/>
        <w:jc w:val="left"/>
        <w:tblInd w:w="0" w:type="dxa"/>
        <w:tblLayout w:type="fixed"/>
        <w:tblCellMar>
          <w:top w:w="28" w:type="dxa"/>
          <w:left w:w="28" w:type="dxa"/>
          <w:bottom w:w="28" w:type="dxa"/>
          <w:right w:w="28" w:type="dxa"/>
        </w:tblCellMar>
      </w:tblPr>
      <w:tblGrid>
        <w:gridCol w:w="921"/>
        <w:gridCol w:w="809"/>
        <w:gridCol w:w="819"/>
        <w:gridCol w:w="284"/>
        <w:gridCol w:w="284"/>
        <w:gridCol w:w="288"/>
        <w:gridCol w:w="283"/>
        <w:gridCol w:w="283"/>
        <w:gridCol w:w="290"/>
        <w:gridCol w:w="109"/>
        <w:gridCol w:w="109"/>
        <w:gridCol w:w="154"/>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Low</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Revenue</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$2,521</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$2,533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Poppins;sans-serif" w:hAnsi="Poppins;sans-serif"/>
                <w:b w:val="false"/>
                <w:color w:val="000000"/>
                <w:sz w:val="18"/>
              </w:rPr>
              <w:t>Operating margin</w:t>
            </w:r>
            <w:r>
              <w:rPr>
                <w:rFonts w:ascii="Poppins;sans-serif" w:hAnsi="Poppins;sans-serif"/>
                <w:b w:val="false"/>
                <w:color w:val="000000"/>
                <w:sz w:val="12"/>
              </w:rPr>
              <w:t>4</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24.7%</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EPS</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$6.78</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$6.87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Poppins;sans-serif" w:hAnsi="Poppins;sans-serif"/>
                <w:b/>
                <w:color w:val="000000"/>
                <w:sz w:val="18"/>
              </w:rPr>
              <w:t>Non-GAAP</w:t>
            </w:r>
            <w:r>
              <w:rPr>
                <w:rFonts w:ascii="Poppins;sans-serif" w:hAnsi="Poppins;sans-serif"/>
                <w:b/>
                <w:color w:val="000000"/>
                <w:sz w:val="12"/>
              </w:rPr>
              <w:t>5</w:t>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Adjusted revenue</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$2,479</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$2,491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Adjusted operating margin</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23.9%</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Poppins;sans-serif" w:hAnsi="Poppins;sans-serif"/>
          <w:b/>
          <w:color w:val="000000"/>
          <w:sz w:val="18"/>
        </w:rPr>
        <w:t>Monett, MO, May 5, 2026</w:t>
      </w:r>
      <w:r>
        <w:rPr>
          <w:color w:val="000000"/>
        </w:rPr>
        <w:t xml:space="preserve"> </w:t>
      </w:r>
      <w:r>
        <w:rPr>
          <w:rFonts w:ascii="Poppins;sans-serif" w:hAnsi="Poppins;sans-serif"/>
          <w:b w:val="false"/>
          <w:color w:val="000000"/>
          <w:sz w:val="18"/>
        </w:rPr>
        <w:t>- Jack Henry &amp; Associates, Inc. (Nasdaq: JKHY), a leading financial technology provider, today announced results for fiscal third quarter ended March 31, 2026.</w:t>
      </w:r>
    </w:p>
    <w:p>
      <w:pPr>
        <w:pStyle w:val="TextBody"/>
        <w:bidi w:val="0"/>
        <w:spacing w:before="0" w:after="0"/>
        <w:jc w:val="both"/>
        <w:rPr/>
      </w:pPr>
      <w:r>
        <w:rPr/>
      </w:r>
    </w:p>
    <w:p>
      <w:pPr>
        <w:pStyle w:val="TextBody"/>
        <w:bidi w:val="0"/>
        <w:spacing w:lineRule="auto" w:line="288" w:before="0" w:after="0"/>
        <w:jc w:val="both"/>
        <w:rPr/>
      </w:pPr>
      <w:r>
        <w:rPr>
          <w:rFonts w:ascii="Poppins;sans-serif" w:hAnsi="Poppins;sans-serif"/>
          <w:b w:val="false"/>
          <w:color w:val="000000"/>
          <w:sz w:val="8"/>
        </w:rPr>
        <w:t xml:space="preserve">1 </w:t>
      </w:r>
      <w:r>
        <w:rPr>
          <w:rFonts w:ascii="Poppins;sans-serif" w:hAnsi="Poppins;sans-serif"/>
          <w:b w:val="false"/>
          <w:color w:val="000000"/>
          <w:sz w:val="13"/>
        </w:rPr>
        <w:t>See tables below on page 4 reconciling non-GAAP financial measures to GAAP.</w:t>
      </w:r>
    </w:p>
    <w:p>
      <w:pPr>
        <w:pStyle w:val="TextBody"/>
        <w:bidi w:val="0"/>
        <w:spacing w:lineRule="auto" w:line="288" w:before="0" w:after="0"/>
        <w:jc w:val="both"/>
        <w:rPr/>
      </w:pPr>
      <w:r>
        <w:rPr>
          <w:rFonts w:ascii="Poppins;sans-serif" w:hAnsi="Poppins;sans-serif"/>
          <w:b w:val="false"/>
          <w:color w:val="000000"/>
          <w:sz w:val="8"/>
        </w:rPr>
        <w:t>2</w:t>
      </w:r>
      <w:r>
        <w:rPr>
          <w:rFonts w:ascii="Poppins;sans-serif" w:hAnsi="Poppins;sans-serif"/>
          <w:b w:val="false"/>
          <w:color w:val="000000"/>
          <w:sz w:val="13"/>
        </w:rPr>
        <w:t>See table below on page 14 reconciling net income to non-GAAP EBITDA.</w:t>
      </w:r>
    </w:p>
    <w:p>
      <w:pPr>
        <w:pStyle w:val="TextBody"/>
        <w:bidi w:val="0"/>
        <w:spacing w:lineRule="auto" w:line="288" w:before="0" w:after="0"/>
        <w:jc w:val="both"/>
        <w:rPr/>
      </w:pPr>
      <w:r>
        <w:rPr>
          <w:rFonts w:ascii="Poppins;sans-serif" w:hAnsi="Poppins;sans-serif"/>
          <w:b w:val="false"/>
          <w:color w:val="000000"/>
          <w:sz w:val="8"/>
        </w:rPr>
        <w:t xml:space="preserve">3 </w:t>
      </w:r>
      <w:r>
        <w:rPr>
          <w:rFonts w:ascii="Poppins;sans-serif" w:hAnsi="Poppins;sans-serif"/>
          <w:b w:val="false"/>
          <w:color w:val="000000"/>
          <w:sz w:val="13"/>
        </w:rPr>
        <w:t>The full fiscal year guidance assumes no additional acquisitions or dispositions will be made during fiscal year 2026.</w:t>
      </w:r>
    </w:p>
    <w:p>
      <w:pPr>
        <w:pStyle w:val="TextBody"/>
        <w:bidi w:val="0"/>
        <w:spacing w:lineRule="auto" w:line="288" w:before="0" w:after="0"/>
        <w:jc w:val="both"/>
        <w:rPr/>
      </w:pPr>
      <w:r>
        <w:rPr>
          <w:rFonts w:ascii="Poppins;sans-serif" w:hAnsi="Poppins;sans-serif"/>
          <w:b w:val="false"/>
          <w:color w:val="000000"/>
          <w:sz w:val="8"/>
        </w:rPr>
        <w:t>4</w:t>
      </w:r>
      <w:r>
        <w:rPr>
          <w:rFonts w:ascii="Poppins;sans-serif" w:hAnsi="Poppins;sans-serif"/>
          <w:b w:val="false"/>
          <w:color w:val="000000"/>
          <w:sz w:val="13"/>
        </w:rPr>
        <w:t>Operating margin is calculated by dividing operating income by revenue.</w:t>
      </w:r>
    </w:p>
    <w:p>
      <w:pPr>
        <w:pStyle w:val="TextBody"/>
        <w:bidi w:val="0"/>
        <w:spacing w:lineRule="auto" w:line="288" w:before="0" w:after="0"/>
        <w:jc w:val="both"/>
        <w:rPr/>
      </w:pPr>
      <w:r>
        <w:rPr>
          <w:rFonts w:ascii="Poppins;sans-serif" w:hAnsi="Poppins;sans-serif"/>
          <w:b w:val="false"/>
          <w:color w:val="000000"/>
          <w:sz w:val="8"/>
        </w:rPr>
        <w:t>5</w:t>
      </w:r>
      <w:r>
        <w:rPr>
          <w:rFonts w:ascii="Poppins;sans-serif" w:hAnsi="Poppins;sans-serif"/>
          <w:b w:val="false"/>
          <w:color w:val="000000"/>
          <w:sz w:val="13"/>
        </w:rPr>
        <w:t>See tables below on page 9 reconciling fiscal year 2026 GAAP to non-GAAP guidance.</w:t>
      </w:r>
    </w:p>
    <w:p>
      <w:pPr>
        <w:pStyle w:val="TextBody"/>
        <w:bidi w:val="0"/>
        <w:spacing w:lineRule="auto" w:line="288" w:before="0" w:after="0"/>
        <w:ind w:left="0" w:right="0" w:hanging="630"/>
        <w:jc w:val="right"/>
        <w:rPr/>
      </w:pPr>
      <w:r>
        <w:rPr/>
        <w:drawing>
          <wp:inline distT="0" distB="0" distL="0" distR="0">
            <wp:extent cx="7772400" cy="9525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1"/>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00735"/>
                <wp:effectExtent l="0" t="0" r="0" b="0"/>
                <wp:wrapNone/>
                <wp:docPr id="14" name="Frame4"/>
                <a:graphic xmlns:a="http://schemas.openxmlformats.org/drawingml/2006/main">
                  <a:graphicData uri="http://schemas.microsoft.com/office/word/2010/wordprocessingShape">
                    <wps:wsp>
                      <wps:cNvSpPr txBox="1"/>
                      <wps:spPr>
                        <a:xfrm>
                          <a:off x="0" y="0"/>
                          <a:ext cx="6480175" cy="800735"/>
                        </a:xfrm>
                        <a:prstGeom prst="rect"/>
                        <a:solidFill>
                          <a:srgbClr val="FFFFFF"/>
                        </a:solidFill>
                      </wps:spPr>
                      <wps:txb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2"/>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05pt;mso-wrap-distance-left:0pt;mso-wrap-distance-right:0pt;mso-wrap-distance-top:0pt;mso-wrap-distance-bottom:0pt;margin-top:0pt;mso-position-vertical:top;mso-position-vertical-relative:text;margin-left:0pt;mso-position-horizontal:left;mso-position-horizontal-relative:text">
                <v:textbo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3"/>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0"/>
        <w:gridCol w:w="554"/>
        <w:gridCol w:w="554"/>
        <w:gridCol w:w="554"/>
        <w:gridCol w:w="554"/>
        <w:gridCol w:w="554"/>
        <w:gridCol w:w="554"/>
        <w:gridCol w:w="554"/>
        <w:gridCol w:w="554"/>
        <w:gridCol w:w="554"/>
        <w:gridCol w:w="554"/>
        <w:gridCol w:w="554"/>
        <w:gridCol w:w="554"/>
        <w:gridCol w:w="554"/>
        <w:gridCol w:w="554"/>
        <w:gridCol w:w="554"/>
        <w:gridCol w:w="554"/>
        <w:gridCol w:w="554"/>
        <w:gridCol w:w="157"/>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10048" w:type="dxa"/>
            <w:gridSpan w:val="18"/>
            <w:vMerge w:val="restart"/>
            <w:tcBorders>
              <w:top w:val="single" w:sz="8" w:space="0" w:color="76DCFD"/>
              <w:left w:val="single" w:sz="8" w:space="0" w:color="76DCFD"/>
              <w:bottom w:val="single" w:sz="8" w:space="0" w:color="76DCFD"/>
              <w:right w:val="single" w:sz="8" w:space="0" w:color="76DCFD"/>
            </w:tcBorders>
            <w:tcMar>
              <w:top w:w="30" w:type="dxa"/>
              <w:bottom w:w="30" w:type="dxa"/>
            </w:tcMar>
            <w:vAlign w:val="center"/>
          </w:tcPr>
          <w:p>
            <w:pPr>
              <w:pStyle w:val="TableContents"/>
              <w:bidi w:val="0"/>
              <w:spacing w:lineRule="auto" w:line="288" w:before="0" w:after="0"/>
              <w:jc w:val="both"/>
              <w:rPr/>
            </w:pPr>
            <w:r>
              <w:rPr>
                <w:rFonts w:ascii="Poppins;sans-serif" w:hAnsi="Poppins;sans-serif"/>
                <w:b w:val="false"/>
                <w:color w:val="000000"/>
                <w:sz w:val="18"/>
              </w:rPr>
              <w:t xml:space="preserve">According to </w:t>
            </w:r>
            <w:r>
              <w:rPr>
                <w:rFonts w:ascii="Poppins;sans-serif" w:hAnsi="Poppins;sans-serif"/>
                <w:b/>
                <w:color w:val="085CE5"/>
                <w:sz w:val="20"/>
              </w:rPr>
              <w:t>Greg Adelson, President and CEO</w:t>
            </w:r>
            <w:r>
              <w:rPr>
                <w:rFonts w:ascii="Poppins;sans-serif" w:hAnsi="Poppins;sans-serif"/>
                <w:b w:val="false"/>
                <w:color w:val="085CE5"/>
                <w:sz w:val="20"/>
              </w:rPr>
              <w:t>,</w:t>
            </w:r>
            <w:r>
              <w:rPr>
                <w:color w:val="000000"/>
              </w:rPr>
              <w:t xml:space="preserve"> “</w:t>
            </w:r>
            <w:r>
              <w:rPr>
                <w:rFonts w:ascii="Poppins;sans-serif" w:hAnsi="Poppins;sans-serif"/>
                <w:b w:val="false"/>
                <w:color w:val="000000"/>
                <w:sz w:val="18"/>
              </w:rPr>
              <w:t>We delivered very strong third-quarter financial results, reflecting our differentiated set of modern solutions, unwavering focus on helping banks and credit unions win in the markets they serve, and disciplined execution across our business. Sales momentum remained strong, highlighted by 17 competitive core wins in the quarter, our best third quarter for new core wins in the last seven years. The sales pipeline is increasing, fueled by increased technology spending and competitive uncertainty, positioning Jack Henry well for driving long-term growth and value creation."</w:t>
            </w:r>
          </w:p>
        </w:tc>
        <w:tc>
          <w:tcPr>
            <w:tcW w:w="157" w:type="dxa"/>
            <w:tcBorders/>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30"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30"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30"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30"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30"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30"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lineRule="auto" w:line="288" w:before="120" w:after="120"/>
        <w:jc w:val="both"/>
        <w:rPr>
          <w:rFonts w:ascii="Poppins;sans-serif" w:hAnsi="Poppins;sans-serif"/>
          <w:b/>
          <w:color w:val="06185F"/>
          <w:sz w:val="20"/>
        </w:rPr>
      </w:pPr>
      <w:r>
        <w:rPr>
          <w:rFonts w:ascii="Poppins;sans-serif" w:hAnsi="Poppins;sans-serif"/>
          <w:b/>
          <w:color w:val="06185F"/>
          <w:sz w:val="20"/>
        </w:rPr>
        <w:t>Operating Results</w:t>
      </w:r>
    </w:p>
    <w:p>
      <w:pPr>
        <w:pStyle w:val="TextBody"/>
        <w:bidi w:val="0"/>
        <w:spacing w:lineRule="auto" w:line="288" w:before="0" w:after="0"/>
        <w:jc w:val="both"/>
        <w:rPr>
          <w:rFonts w:ascii="Poppins;sans-serif" w:hAnsi="Poppins;sans-serif"/>
          <w:b w:val="false"/>
          <w:color w:val="000000"/>
          <w:sz w:val="18"/>
        </w:rPr>
      </w:pPr>
      <w:r>
        <w:rPr>
          <w:rFonts w:ascii="Poppins;sans-serif" w:hAnsi="Poppins;sans-serif"/>
          <w:b w:val="false"/>
          <w:color w:val="000000"/>
          <w:sz w:val="18"/>
        </w:rPr>
        <w:t>Revenue, operating expenses, operating income, and net income for the fiscal three and nine months ended March 31, 2026, compared to the fiscal three and nine months ended March 31, 2025, were as follows:</w:t>
      </w:r>
    </w:p>
    <w:tbl>
      <w:tblPr>
        <w:tblW w:w="11262" w:type="dxa"/>
        <w:jc w:val="left"/>
        <w:tblInd w:w="0" w:type="dxa"/>
        <w:tblLayout w:type="fixed"/>
        <w:tblCellMar>
          <w:top w:w="28" w:type="dxa"/>
          <w:left w:w="28" w:type="dxa"/>
          <w:bottom w:w="28" w:type="dxa"/>
          <w:right w:w="28" w:type="dxa"/>
        </w:tblCellMar>
      </w:tblPr>
      <w:tblGrid>
        <w:gridCol w:w="434"/>
        <w:gridCol w:w="381"/>
        <w:gridCol w:w="386"/>
        <w:gridCol w:w="226"/>
        <w:gridCol w:w="961"/>
        <w:gridCol w:w="286"/>
        <w:gridCol w:w="109"/>
        <w:gridCol w:w="109"/>
        <w:gridCol w:w="109"/>
        <w:gridCol w:w="226"/>
        <w:gridCol w:w="946"/>
        <w:gridCol w:w="271"/>
        <w:gridCol w:w="109"/>
        <w:gridCol w:w="109"/>
        <w:gridCol w:w="109"/>
        <w:gridCol w:w="300"/>
        <w:gridCol w:w="301"/>
        <w:gridCol w:w="538"/>
        <w:gridCol w:w="109"/>
        <w:gridCol w:w="109"/>
        <w:gridCol w:w="109"/>
        <w:gridCol w:w="226"/>
        <w:gridCol w:w="1156"/>
        <w:gridCol w:w="286"/>
        <w:gridCol w:w="109"/>
        <w:gridCol w:w="109"/>
        <w:gridCol w:w="109"/>
        <w:gridCol w:w="226"/>
        <w:gridCol w:w="1126"/>
        <w:gridCol w:w="271"/>
        <w:gridCol w:w="109"/>
        <w:gridCol w:w="109"/>
        <w:gridCol w:w="109"/>
        <w:gridCol w:w="240"/>
        <w:gridCol w:w="241"/>
        <w:gridCol w:w="599"/>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6185F"/>
                <w:sz w:val="20"/>
              </w:rPr>
            </w:pPr>
            <w:r>
              <w:rPr>
                <w:rFonts w:ascii="Poppins;sans-serif" w:hAnsi="Poppins;sans-serif"/>
                <w:b/>
                <w:color w:val="06185F"/>
                <w:sz w:val="20"/>
              </w:rPr>
              <w:t>Revenue</w:t>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(Unaudited, dollars in thousands)</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Nine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Revenue</w:t>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Services and Support</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365,149</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330,792 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10.4</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1,087,808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1,010,498 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7.7</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i/>
                <w:color w:val="000000"/>
                <w:sz w:val="18"/>
              </w:rPr>
            </w:pPr>
            <w:r>
              <w:rPr>
                <w:rFonts w:ascii="Poppins;sans-serif" w:hAnsi="Poppins;sans-serif"/>
                <w:b w:val="false"/>
                <w:i/>
                <w:color w:val="000000"/>
                <w:sz w:val="18"/>
              </w:rPr>
              <w:t>Percentage of Total Revenue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i/>
                <w:color w:val="000000"/>
                <w:sz w:val="18"/>
              </w:rPr>
              <w:t>57.4</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i/>
                <w:color w:val="000000"/>
                <w:sz w:val="18"/>
              </w:rPr>
            </w:pPr>
            <w:r>
              <w:rPr>
                <w:rFonts w:ascii="Poppins;sans-serif" w:hAnsi="Poppins;sans-serif"/>
                <w:b/>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i/>
                <w:color w:val="000000"/>
                <w:sz w:val="18"/>
              </w:rPr>
            </w:pPr>
            <w:r>
              <w:rPr>
                <w:rFonts w:ascii="Poppins;sans-serif" w:hAnsi="Poppins;sans-serif"/>
                <w:b w:val="false"/>
                <w:i/>
                <w:color w:val="000000"/>
                <w:sz w:val="18"/>
              </w:rPr>
              <w:t>56.5 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i/>
                <w:color w:val="000000"/>
                <w:sz w:val="18"/>
              </w:rPr>
            </w:pPr>
            <w:r>
              <w:rPr>
                <w:rFonts w:ascii="Poppins;sans-serif" w:hAnsi="Poppins;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i/>
                <w:color w:val="000000"/>
                <w:sz w:val="18"/>
              </w:rPr>
              <w:t>57.2</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i/>
                <w:color w:val="000000"/>
                <w:sz w:val="18"/>
              </w:rPr>
            </w:pPr>
            <w:r>
              <w:rPr>
                <w:rFonts w:ascii="Poppins;sans-serif" w:hAnsi="Poppins;sans-serif"/>
                <w:b/>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i/>
                <w:color w:val="000000"/>
                <w:sz w:val="18"/>
              </w:rPr>
            </w:pPr>
            <w:r>
              <w:rPr>
                <w:rFonts w:ascii="Poppins;sans-serif" w:hAnsi="Poppins;sans-serif"/>
                <w:b w:val="false"/>
                <w:i/>
                <w:color w:val="000000"/>
                <w:sz w:val="18"/>
              </w:rPr>
              <w:t>57.4 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i/>
                <w:color w:val="000000"/>
                <w:sz w:val="18"/>
              </w:rPr>
            </w:pPr>
            <w:r>
              <w:rPr>
                <w:rFonts w:ascii="Poppins;sans-serif" w:hAnsi="Poppins;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Processing</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271,096</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254,295 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6.6</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812,508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749,418 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8.4</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i/>
                <w:color w:val="000000"/>
                <w:sz w:val="18"/>
              </w:rPr>
            </w:pPr>
            <w:r>
              <w:rPr>
                <w:rFonts w:ascii="Poppins;sans-serif" w:hAnsi="Poppins;sans-serif"/>
                <w:b w:val="false"/>
                <w:i/>
                <w:color w:val="000000"/>
                <w:sz w:val="18"/>
              </w:rPr>
              <w:t>Percentage of Total Revenue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i/>
                <w:color w:val="000000"/>
                <w:sz w:val="18"/>
              </w:rPr>
              <w:t>42.6</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i/>
                <w:color w:val="000000"/>
                <w:sz w:val="18"/>
              </w:rPr>
            </w:pPr>
            <w:r>
              <w:rPr>
                <w:rFonts w:ascii="Poppins;sans-serif" w:hAnsi="Poppins;sans-serif"/>
                <w:b/>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i/>
                <w:color w:val="000000"/>
                <w:sz w:val="18"/>
              </w:rPr>
            </w:pPr>
            <w:r>
              <w:rPr>
                <w:rFonts w:ascii="Poppins;sans-serif" w:hAnsi="Poppins;sans-serif"/>
                <w:b w:val="false"/>
                <w:i/>
                <w:color w:val="000000"/>
                <w:sz w:val="18"/>
              </w:rPr>
              <w:t>43.5 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i/>
                <w:color w:val="000000"/>
                <w:sz w:val="18"/>
              </w:rPr>
            </w:pPr>
            <w:r>
              <w:rPr>
                <w:rFonts w:ascii="Poppins;sans-serif" w:hAnsi="Poppins;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i/>
                <w:color w:val="000000"/>
                <w:sz w:val="18"/>
              </w:rPr>
              <w:t>42.8</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i/>
                <w:color w:val="000000"/>
                <w:sz w:val="18"/>
              </w:rPr>
            </w:pPr>
            <w:r>
              <w:rPr>
                <w:rFonts w:ascii="Poppins;sans-serif" w:hAnsi="Poppins;sans-serif"/>
                <w:b/>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i/>
                <w:color w:val="000000"/>
                <w:sz w:val="18"/>
              </w:rPr>
            </w:pPr>
            <w:r>
              <w:rPr>
                <w:rFonts w:ascii="Poppins;sans-serif" w:hAnsi="Poppins;sans-serif"/>
                <w:b w:val="false"/>
                <w:i/>
                <w:color w:val="000000"/>
                <w:sz w:val="18"/>
              </w:rPr>
              <w:t>42.6 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i/>
                <w:color w:val="000000"/>
                <w:sz w:val="18"/>
              </w:rPr>
            </w:pPr>
            <w:r>
              <w:rPr>
                <w:rFonts w:ascii="Poppins;sans-serif" w:hAnsi="Poppins;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636,245</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585,087 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8.7</w:t>
            </w: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1,900,316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1,759,916 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8.0</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bl>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Services and support revenue increased for the fiscal three months ended March 31, 2026, primarily driven by growth in data processing and hosting revenue within private and public cloud revenue of 9.4% and higher deconversion revenue by $9,021. Processing revenue increased for the fiscal three months ended March 31, 2026, primarily driven by growth in digital and transaction revenue of 9.9%, card revenue of 3.6%, and faster payments revenue of 46.4%.</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Services and support revenue increased for the fiscal nine months ended March 31, 2026, primarily driven by growth in data processing and hosting revenue within private and public cloud revenue of 8.9% and higher deconversion revenue by $20,094. Processing revenue increased for the fiscal nine months ended March 31, 2026, primarily driven by growth in digital and transaction revenue of 12.8%, card revenue of 6.2%, and faster payments revenue of 50.5%.</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 xml:space="preserve">For the fiscal three months ended March 31, 2026, core segment revenue increased 9.2%, payments segment revenue increased 7.0%, complementary segment revenue increased 8.7%, and corporate services segment revenue increased 27.5%. For the fiscal three months ended March 31, 2026, core segment non-GAAP adjusted revenue increased 8.6%, payments segment non-GAAP adjusted revenue increased 4.7%, complementary segment non-GAAP adjusted revenue increased 7.2%, and corporate services non-GAAP adjusted segment revenue increased 27.1%. Total non-GAAP adjusted revenue increased 7.3% for the same period (see revenue lines of segment break-out tables on pages 5 and 6 below for a reconciliation of GAAP segment revenue to non-GAAP adjusted segment revenue). </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 xml:space="preserve">For the fiscal nine months ended March 31, 2026, core segment revenue increased 5.9%, payments segment revenue increased 8.0%, complementary segment revenue increased 9.5%, and corporate services segment revenue increased 14.5%. For the fiscal nine months ended March 31, 2026, core segment non-GAAP adjusted revenue increased 7.4%, payments segment non-GAAP adjusted revenue increased 6.5%, complementary segment non-GAAP adjusted revenue increased 8.4%, and corporate services non-GAAP adjusted segment revenue increased 14.2%. Total non-GAAP adjusted revenue increased 7.6% for the same period (see revenue lines of segment break-out tables on pages 7 and 8 below for a reconciliation of GAAP segment revenue to non-GAAP adjusted segment revenue). </w:t>
      </w:r>
    </w:p>
    <w:p>
      <w:pPr>
        <w:pStyle w:val="TextBody"/>
        <w:bidi w:val="0"/>
        <w:spacing w:lineRule="auto" w:line="288" w:before="0" w:after="0"/>
        <w:ind w:left="0" w:right="0" w:hanging="630"/>
        <w:jc w:val="right"/>
        <w:rPr/>
      </w:pPr>
      <w:r>
        <w:rPr/>
        <w:drawing>
          <wp:inline distT="0" distB="0" distL="0" distR="0">
            <wp:extent cx="7772400" cy="9525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00735"/>
                <wp:effectExtent l="0" t="0" r="0" b="0"/>
                <wp:wrapNone/>
                <wp:docPr id="18" name="Frame5"/>
                <a:graphic xmlns:a="http://schemas.openxmlformats.org/drawingml/2006/main">
                  <a:graphicData uri="http://schemas.microsoft.com/office/word/2010/wordprocessingShape">
                    <wps:wsp>
                      <wps:cNvSpPr txBox="1"/>
                      <wps:spPr>
                        <a:xfrm>
                          <a:off x="0" y="0"/>
                          <a:ext cx="6480175" cy="800735"/>
                        </a:xfrm>
                        <a:prstGeom prst="rect"/>
                        <a:solidFill>
                          <a:srgbClr val="FFFFFF"/>
                        </a:solidFill>
                      </wps:spPr>
                      <wps:txb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5"/>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05pt;mso-wrap-distance-left:0pt;mso-wrap-distance-right:0pt;mso-wrap-distance-top:0pt;mso-wrap-distance-bottom:0pt;margin-top:0pt;mso-position-vertical:top;mso-position-vertical-relative:text;margin-left:0pt;mso-position-horizontal:left;mso-position-horizontal-relative:text">
                <v:textbo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6"/>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2004" w:type="dxa"/>
        <w:jc w:val="left"/>
        <w:tblInd w:w="0" w:type="dxa"/>
        <w:tblLayout w:type="fixed"/>
        <w:tblCellMar>
          <w:top w:w="28" w:type="dxa"/>
          <w:left w:w="28" w:type="dxa"/>
          <w:bottom w:w="28" w:type="dxa"/>
          <w:right w:w="28" w:type="dxa"/>
        </w:tblCellMar>
      </w:tblPr>
      <w:tblGrid>
        <w:gridCol w:w="660"/>
        <w:gridCol w:w="382"/>
        <w:gridCol w:w="384"/>
        <w:gridCol w:w="226"/>
        <w:gridCol w:w="961"/>
        <w:gridCol w:w="286"/>
        <w:gridCol w:w="109"/>
        <w:gridCol w:w="109"/>
        <w:gridCol w:w="109"/>
        <w:gridCol w:w="226"/>
        <w:gridCol w:w="946"/>
        <w:gridCol w:w="271"/>
        <w:gridCol w:w="109"/>
        <w:gridCol w:w="109"/>
        <w:gridCol w:w="109"/>
        <w:gridCol w:w="299"/>
        <w:gridCol w:w="302"/>
        <w:gridCol w:w="581"/>
        <w:gridCol w:w="109"/>
        <w:gridCol w:w="109"/>
        <w:gridCol w:w="109"/>
        <w:gridCol w:w="226"/>
        <w:gridCol w:w="1156"/>
        <w:gridCol w:w="286"/>
        <w:gridCol w:w="109"/>
        <w:gridCol w:w="109"/>
        <w:gridCol w:w="109"/>
        <w:gridCol w:w="226"/>
        <w:gridCol w:w="1126"/>
        <w:gridCol w:w="271"/>
        <w:gridCol w:w="109"/>
        <w:gridCol w:w="109"/>
        <w:gridCol w:w="109"/>
        <w:gridCol w:w="299"/>
        <w:gridCol w:w="302"/>
        <w:gridCol w:w="581"/>
        <w:gridCol w:w="109"/>
        <w:gridCol w:w="109"/>
        <w:gridCol w:w="154"/>
      </w:tblGrid>
      <w:tr>
        <w:trPr/>
        <w:tc>
          <w:tcPr>
            <w:tcW w:w="6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9" w:type="dxa"/>
            <w:gridSpan w:val="12"/>
            <w:tcBorders/>
            <w:tcMar>
              <w:top w:w="0" w:type="dxa"/>
              <w:left w:w="0" w:type="dxa"/>
              <w:bottom w:w="0" w:type="dxa"/>
              <w:right w:w="0" w:type="dxa"/>
            </w:tcMar>
            <w:vAlign w:val="center"/>
          </w:tcPr>
          <w:p>
            <w:pPr>
              <w:pStyle w:val="TableContents"/>
              <w:bidi w:val="0"/>
              <w:spacing w:lineRule="auto" w:line="240" w:before="100" w:after="120"/>
              <w:jc w:val="both"/>
              <w:rPr>
                <w:rFonts w:ascii="Poppins;sans-serif" w:hAnsi="Poppins;sans-serif"/>
                <w:b/>
                <w:color w:val="06185F"/>
                <w:sz w:val="20"/>
              </w:rPr>
            </w:pPr>
            <w:r>
              <w:rPr>
                <w:rFonts w:ascii="Poppins;sans-serif" w:hAnsi="Poppins;sans-serif"/>
                <w:b/>
                <w:color w:val="06185F"/>
                <w:sz w:val="20"/>
              </w:rPr>
              <w:t>Operating Expenses and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(Unaudited, dollars in thousands)</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Nine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Cost of Revenue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363,922</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340,586 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6.9</w:t>
            </w:r>
            <w:r>
              <w:rPr>
                <w:color w:val="000000"/>
              </w:rPr>
              <w:t>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1,063,476</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1,016,868 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4.6</w:t>
            </w:r>
            <w:r>
              <w:rPr>
                <w:color w:val="000000"/>
              </w:rPr>
              <w:t>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Poppins;sans-serif" w:hAnsi="Poppins;sans-serif"/>
                <w:b w:val="false"/>
                <w:i/>
                <w:color w:val="000000"/>
                <w:sz w:val="18"/>
              </w:rPr>
              <w:t>Percentage of Total Revenue</w:t>
            </w:r>
            <w:r>
              <w:rPr>
                <w:rFonts w:ascii="Poppins;sans-serif" w:hAnsi="Poppins;sans-serif"/>
                <w:b w:val="false"/>
                <w:i/>
                <w:color w:val="000000"/>
                <w:sz w:val="12"/>
              </w:rPr>
              <w:t>6</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57.2</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58.2 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56.0</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57.8</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Research and Development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45,110</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39,411 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14.5</w:t>
            </w:r>
            <w:r>
              <w:rPr>
                <w:color w:val="000000"/>
              </w:rPr>
              <w:t>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126,615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120,192 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5.3</w:t>
            </w:r>
            <w:r>
              <w:rPr>
                <w:color w:val="000000"/>
              </w:rPr>
              <w:t>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Poppins;sans-serif" w:hAnsi="Poppins;sans-serif"/>
                <w:b w:val="false"/>
                <w:i/>
                <w:color w:val="000000"/>
                <w:sz w:val="18"/>
              </w:rPr>
              <w:t>Percentage of Total Revenue</w:t>
            </w:r>
            <w:r>
              <w:rPr>
                <w:rFonts w:ascii="Poppins;sans-serif" w:hAnsi="Poppins;sans-serif"/>
                <w:b w:val="false"/>
                <w:i/>
                <w:color w:val="000000"/>
                <w:sz w:val="12"/>
              </w:rPr>
              <w:t>6</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7.1</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6.7</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6.8</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Selling, General, and Administrative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72,166</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66,350 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8.8</w:t>
            </w:r>
            <w:r>
              <w:rPr>
                <w:color w:val="000000"/>
              </w:rPr>
              <w:t>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211,965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209,839 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w:t>
            </w:r>
            <w:r>
              <w:rPr>
                <w:color w:val="000000"/>
              </w:rPr>
              <w:t>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Poppins;sans-serif" w:hAnsi="Poppins;sans-serif"/>
                <w:b w:val="false"/>
                <w:i/>
                <w:color w:val="000000"/>
                <w:sz w:val="18"/>
              </w:rPr>
              <w:t>Percentage of Total Revenue</w:t>
            </w:r>
            <w:r>
              <w:rPr>
                <w:rFonts w:ascii="Poppins;sans-serif" w:hAnsi="Poppins;sans-serif"/>
                <w:b w:val="false"/>
                <w:i/>
                <w:color w:val="000000"/>
                <w:sz w:val="12"/>
              </w:rPr>
              <w:t>6</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11.3</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11.2</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481,198</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446,347 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7.8</w:t>
            </w: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1,402,056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1,346,899 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4.1</w:t>
            </w: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OPERATING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155,047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138,740 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11.8</w:t>
            </w: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498,260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413,017 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20.6</w:t>
            </w: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Poppins;sans-serif" w:hAnsi="Poppins;sans-serif"/>
                <w:b w:val="false"/>
                <w:i/>
                <w:color w:val="000000"/>
                <w:sz w:val="18"/>
              </w:rPr>
              <w:t>Operating Margin</w:t>
            </w:r>
            <w:r>
              <w:rPr>
                <w:rFonts w:ascii="Poppins;sans-serif" w:hAnsi="Poppins;sans-serif"/>
                <w:b w:val="false"/>
                <w:i/>
                <w:color w:val="000000"/>
                <w:sz w:val="12"/>
              </w:rPr>
              <w:t>6</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24.4</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26.2</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23.5</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color w:val="000000"/>
        </w:rPr>
        <w:t>•</w:t>
      </w:r>
      <w:r>
        <w:rPr>
          <w:rFonts w:ascii="Poppins;sans-serif" w:hAnsi="Poppins;sans-serif"/>
          <w:b w:val="false"/>
          <w:color w:val="000000"/>
          <w:sz w:val="18"/>
        </w:rPr>
        <w:t>Cost of revenue increased for the fiscal three months ended March 31, 2026, compared to the fiscal three months ended March 31, 2025, primarily due to higher personnel costs, including compensation and benefit costs, partially related to a headcount increase in the trailing twelve months, higher direct costs generally consistent with increases in related lines of revenue, as well as increased amortization of intangible assets.</w:t>
      </w:r>
    </w:p>
    <w:p>
      <w:pPr>
        <w:pStyle w:val="TextBody"/>
        <w:bidi w:val="0"/>
        <w:spacing w:lineRule="auto" w:line="288" w:before="0" w:after="120"/>
        <w:ind w:left="0" w:right="0" w:hanging="360"/>
        <w:jc w:val="both"/>
        <w:rPr/>
      </w:pPr>
      <w:r>
        <w:rPr>
          <w:color w:val="000000"/>
        </w:rPr>
        <w:t>•</w:t>
      </w:r>
      <w:r>
        <w:rPr>
          <w:rFonts w:ascii="Poppins;sans-serif" w:hAnsi="Poppins;sans-serif"/>
          <w:b w:val="false"/>
          <w:color w:val="000000"/>
          <w:sz w:val="18"/>
        </w:rPr>
        <w:t>Cost of revenue increased for the fiscal nine months ended March 31, 2026, compared to the fiscal nine months ended March 31, 2025, primarily due to higher personnel costs, including compensation and benefit costs, partially related to a headcount increase in the trailing twelve months, higher direct costs generally consistent with increases in related lines of revenue, and increased amortization of intangible assets. Personnel cost increases over the prior year period were tempered by lower than normal medical claims earlier in the fiscal year.</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Research and development expense increased for the fiscal three and nine months ended March 31, 2026, compared to the fiscal three and nine months ended March 31, 2025, primarily due to higher personnel costs (net of capitalization), including compensation and benefit costs, partially related to a headcount increase in the trailing twelve months.</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 xml:space="preserve">Selling, general, and administrative expense increased for the fiscal three months ended March 31, 2026, compared to the fiscal three months ended March 31, 2025, primarily due to higher personnel costs, including compensation and benefit costs, partially related to a headcount increase in the trailing twelve months. </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Selling, general, and administrative expense increased for the fiscal nine months ended March 31, 2026, compared to the fiscal nine months ended March 31, 2025, primarily due to higher personnel costs, including compensation and benefit costs, partially related to a headcount increase in the trailing twelve months and the higher gain on assets, net, in the current fiscal year period of $5,267 compared to the prior fiscal year period. Personnel cost increases over the prior year period were tempered by lower than normal medical claims earlier in the fiscal year.</w:t>
      </w:r>
    </w:p>
    <w:p>
      <w:pPr>
        <w:pStyle w:val="TextBody"/>
        <w:bidi w:val="0"/>
        <w:spacing w:lineRule="auto" w:line="288" w:before="100" w:after="120"/>
        <w:jc w:val="both"/>
        <w:rPr>
          <w:rFonts w:ascii="Poppins;sans-serif" w:hAnsi="Poppins;sans-serif"/>
          <w:b/>
          <w:color w:val="06185F"/>
          <w:sz w:val="20"/>
        </w:rPr>
      </w:pPr>
      <w:r>
        <w:rPr>
          <w:rFonts w:ascii="Poppins;sans-serif" w:hAnsi="Poppins;sans-serif"/>
          <w:b/>
          <w:color w:val="06185F"/>
          <w:sz w:val="20"/>
        </w:rPr>
        <w:t>Net Income</w:t>
      </w:r>
    </w:p>
    <w:tbl>
      <w:tblPr>
        <w:tblW w:w="10329" w:type="dxa"/>
        <w:jc w:val="left"/>
        <w:tblInd w:w="0" w:type="dxa"/>
        <w:tblLayout w:type="fixed"/>
        <w:tblCellMar>
          <w:top w:w="28" w:type="dxa"/>
          <w:left w:w="28" w:type="dxa"/>
          <w:bottom w:w="28" w:type="dxa"/>
          <w:right w:w="28" w:type="dxa"/>
        </w:tblCellMar>
      </w:tblPr>
      <w:tblGrid>
        <w:gridCol w:w="435"/>
        <w:gridCol w:w="382"/>
        <w:gridCol w:w="384"/>
        <w:gridCol w:w="226"/>
        <w:gridCol w:w="961"/>
        <w:gridCol w:w="109"/>
        <w:gridCol w:w="109"/>
        <w:gridCol w:w="109"/>
        <w:gridCol w:w="109"/>
        <w:gridCol w:w="226"/>
        <w:gridCol w:w="946"/>
        <w:gridCol w:w="109"/>
        <w:gridCol w:w="109"/>
        <w:gridCol w:w="109"/>
        <w:gridCol w:w="109"/>
        <w:gridCol w:w="300"/>
        <w:gridCol w:w="301"/>
        <w:gridCol w:w="538"/>
        <w:gridCol w:w="109"/>
        <w:gridCol w:w="109"/>
        <w:gridCol w:w="109"/>
        <w:gridCol w:w="226"/>
        <w:gridCol w:w="961"/>
        <w:gridCol w:w="109"/>
        <w:gridCol w:w="109"/>
        <w:gridCol w:w="109"/>
        <w:gridCol w:w="109"/>
        <w:gridCol w:w="226"/>
        <w:gridCol w:w="946"/>
        <w:gridCol w:w="109"/>
        <w:gridCol w:w="109"/>
        <w:gridCol w:w="109"/>
        <w:gridCol w:w="109"/>
        <w:gridCol w:w="300"/>
        <w:gridCol w:w="301"/>
        <w:gridCol w:w="599"/>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 xml:space="preserve">(Unaudited, in thousands, </w:t>
            </w:r>
          </w:p>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except per share data)</w:t>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Nine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Income Before Income Taxes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158,541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141,908 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11.7</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513,052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426,087 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20.4</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Provision for Income Taxes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35,647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30,800 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15.7</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121,503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97,943 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24.1</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122,894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111,108 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10.6</w:t>
            </w: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391,549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328,144 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19.3</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Diluted earnings per share</w:t>
            </w:r>
          </w:p>
        </w:tc>
        <w:tc>
          <w:tcPr>
            <w:tcW w:w="2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1.71</w:t>
            </w: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1.52 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12.2</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5.41</w:t>
            </w: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4.49 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20.4</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bl>
    <w:p>
      <w:pPr>
        <w:pStyle w:val="TextBody"/>
        <w:bidi w:val="0"/>
        <w:spacing w:lineRule="auto" w:line="288" w:before="0" w:after="120"/>
        <w:ind w:left="0" w:right="0" w:hanging="360"/>
        <w:jc w:val="both"/>
        <w:rPr/>
      </w:pPr>
      <w:r>
        <w:rPr>
          <w:color w:val="000000"/>
        </w:rPr>
        <w:t>•</w:t>
      </w:r>
      <w:r>
        <w:rPr>
          <w:rFonts w:ascii="Poppins;sans-serif" w:hAnsi="Poppins;sans-serif"/>
          <w:b w:val="false"/>
          <w:color w:val="000000"/>
          <w:sz w:val="18"/>
        </w:rPr>
        <w:t>Effective tax rates for the fiscal three and nine months ended March 31, 2026, and 2025, were 22.5% and 23.7%</w:t>
      </w:r>
      <w:r>
        <w:rPr>
          <w:color w:val="000000"/>
        </w:rPr>
        <w:t xml:space="preserve"> </w:t>
      </w:r>
      <w:r>
        <w:rPr>
          <w:rFonts w:ascii="Poppins;sans-serif" w:hAnsi="Poppins;sans-serif"/>
          <w:b w:val="false"/>
          <w:color w:val="000000"/>
          <w:sz w:val="18"/>
        </w:rPr>
        <w:t xml:space="preserve">and 21.7% and 23.0%, respectively. </w:t>
      </w:r>
    </w:p>
    <w:tbl>
      <w:tblPr>
        <w:tblW w:w="10205" w:type="dxa"/>
        <w:jc w:val="left"/>
        <w:tblInd w:w="0" w:type="dxa"/>
        <w:tblLayout w:type="fixed"/>
        <w:tblCellMar>
          <w:top w:w="28" w:type="dxa"/>
          <w:left w:w="28" w:type="dxa"/>
          <w:bottom w:w="28" w:type="dxa"/>
          <w:right w:w="28" w:type="dxa"/>
        </w:tblCellMar>
      </w:tblPr>
      <w:tblGrid>
        <w:gridCol w:w="630"/>
        <w:gridCol w:w="554"/>
        <w:gridCol w:w="554"/>
        <w:gridCol w:w="554"/>
        <w:gridCol w:w="554"/>
        <w:gridCol w:w="554"/>
        <w:gridCol w:w="554"/>
        <w:gridCol w:w="554"/>
        <w:gridCol w:w="554"/>
        <w:gridCol w:w="554"/>
        <w:gridCol w:w="554"/>
        <w:gridCol w:w="554"/>
        <w:gridCol w:w="554"/>
        <w:gridCol w:w="554"/>
        <w:gridCol w:w="554"/>
        <w:gridCol w:w="554"/>
        <w:gridCol w:w="554"/>
        <w:gridCol w:w="554"/>
        <w:gridCol w:w="157"/>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10048" w:type="dxa"/>
            <w:gridSpan w:val="18"/>
            <w:vMerge w:val="restart"/>
            <w:tcBorders>
              <w:top w:val="single" w:sz="8" w:space="0" w:color="76DCFD"/>
              <w:left w:val="single" w:sz="8" w:space="0" w:color="76DCFD"/>
              <w:bottom w:val="single" w:sz="8" w:space="0" w:color="76DCFD"/>
              <w:right w:val="single" w:sz="8" w:space="0" w:color="76DCFD"/>
            </w:tcBorders>
            <w:tcMar>
              <w:top w:w="30" w:type="dxa"/>
              <w:bottom w:w="30" w:type="dxa"/>
            </w:tcMar>
            <w:vAlign w:val="center"/>
          </w:tcPr>
          <w:p>
            <w:pPr>
              <w:pStyle w:val="TableContents"/>
              <w:bidi w:val="0"/>
              <w:spacing w:lineRule="auto" w:line="288" w:before="0" w:after="0"/>
              <w:jc w:val="both"/>
              <w:rPr/>
            </w:pPr>
            <w:r>
              <w:rPr>
                <w:rFonts w:ascii="Poppins;sans-serif" w:hAnsi="Poppins;sans-serif"/>
                <w:b w:val="false"/>
                <w:color w:val="000000"/>
                <w:sz w:val="18"/>
              </w:rPr>
              <w:t xml:space="preserve">According to </w:t>
            </w:r>
            <w:r>
              <w:rPr>
                <w:rFonts w:ascii="Poppins;sans-serif" w:hAnsi="Poppins;sans-serif"/>
                <w:b/>
                <w:color w:val="085CE5"/>
                <w:sz w:val="20"/>
              </w:rPr>
              <w:t>Mimi Carsley, CFO and Treasurer</w:t>
            </w:r>
            <w:r>
              <w:rPr>
                <w:rFonts w:ascii="Poppins;sans-serif" w:hAnsi="Poppins;sans-serif"/>
                <w:b w:val="false"/>
                <w:color w:val="085CE5"/>
                <w:sz w:val="20"/>
              </w:rPr>
              <w:t>,</w:t>
            </w:r>
            <w:r>
              <w:rPr>
                <w:color w:val="000000"/>
              </w:rPr>
              <w:t xml:space="preserve"> “</w:t>
            </w:r>
            <w:r>
              <w:rPr>
                <w:rFonts w:ascii="Poppins;sans-serif" w:hAnsi="Poppins;sans-serif"/>
                <w:b w:val="false"/>
                <w:color w:val="000000"/>
                <w:sz w:val="18"/>
              </w:rPr>
              <w:t>During the third quarter, we delivered strong growth in several key revenue areas, including continued expansion in cloud revenue and solid performance from our faster payments products and digital offerings. We anticipate relative weakness to the year to date in fiscal Q4 non-GAAP revenue and margins consistent with previously stated expectations. Based on our positive outlook, we have increased our full year non-GAAP revenue, non-GAAP margin expansion, and GAAP EPS guidance.”</w:t>
            </w:r>
          </w:p>
        </w:tc>
        <w:tc>
          <w:tcPr>
            <w:tcW w:w="157" w:type="dxa"/>
            <w:tcBorders/>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30"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30"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30"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30"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30"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8"/>
            <w:vMerge w:val="continue"/>
            <w:tcBorders>
              <w:top w:val="single" w:sz="8" w:space="0" w:color="76DCFD"/>
              <w:left w:val="single" w:sz="8" w:space="0" w:color="76DCFD"/>
              <w:bottom w:val="single" w:sz="8" w:space="0" w:color="76DCFD"/>
              <w:right w:val="single" w:sz="8" w:space="0" w:color="76DCFD"/>
            </w:tcBorders>
            <w:tcMar>
              <w:top w:w="30" w:type="dxa"/>
              <w:bottom w:w="3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40"/>
        <w:jc w:val="both"/>
        <w:rPr/>
      </w:pPr>
      <w:r>
        <w:rPr>
          <w:rFonts w:ascii="Poppins;sans-serif" w:hAnsi="Poppins;sans-serif"/>
          <w:b w:val="false"/>
          <w:color w:val="000000"/>
          <w:sz w:val="8"/>
        </w:rPr>
        <w:t>6</w:t>
      </w:r>
      <w:r>
        <w:rPr>
          <w:rFonts w:ascii="Poppins;sans-serif" w:hAnsi="Poppins;sans-serif"/>
          <w:b w:val="false"/>
          <w:color w:val="000000"/>
          <w:sz w:val="13"/>
        </w:rPr>
        <w:t>Operating margin is calculated by dividing operating income by revenue. Operating margin plus operating expense components as a percentage of total revenue may not equal 100% due to rounding.</w:t>
      </w:r>
    </w:p>
    <w:p>
      <w:pPr>
        <w:pStyle w:val="TextBody"/>
        <w:bidi w:val="0"/>
        <w:spacing w:lineRule="auto" w:line="288" w:before="0" w:after="0"/>
        <w:ind w:left="0" w:right="0" w:hanging="630"/>
        <w:jc w:val="right"/>
        <w:rPr/>
      </w:pPr>
      <w:r>
        <w:rPr/>
        <w:drawing>
          <wp:inline distT="0" distB="0" distL="0" distR="0">
            <wp:extent cx="7772400" cy="95250"/>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7"/>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00735"/>
                <wp:effectExtent l="0" t="0" r="0" b="0"/>
                <wp:wrapNone/>
                <wp:docPr id="22" name="Frame6"/>
                <a:graphic xmlns:a="http://schemas.openxmlformats.org/drawingml/2006/main">
                  <a:graphicData uri="http://schemas.microsoft.com/office/word/2010/wordprocessingShape">
                    <wps:wsp>
                      <wps:cNvSpPr txBox="1"/>
                      <wps:spPr>
                        <a:xfrm>
                          <a:off x="0" y="0"/>
                          <a:ext cx="6480175" cy="800735"/>
                        </a:xfrm>
                        <a:prstGeom prst="rect"/>
                        <a:solidFill>
                          <a:srgbClr val="FFFFFF"/>
                        </a:solidFill>
                      </wps:spPr>
                      <wps:txb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8"/>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05pt;mso-wrap-distance-left:0pt;mso-wrap-distance-right:0pt;mso-wrap-distance-top:0pt;mso-wrap-distance-bottom:0pt;margin-top:0pt;mso-position-vertical:top;mso-position-vertical-relative:text;margin-left:0pt;mso-position-horizontal:left;mso-position-horizontal-relative:text">
                <v:textbo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2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4" descr=""/>
                                          <pic:cNvPicPr>
                                            <a:picLocks noChangeAspect="1" noChangeArrowheads="1"/>
                                          </pic:cNvPicPr>
                                        </pic:nvPicPr>
                                        <pic:blipFill>
                                          <a:blip r:embed="rId19"/>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both"/>
        <w:rPr>
          <w:rFonts w:ascii="Poppins;sans-serif" w:hAnsi="Poppins;sans-serif"/>
          <w:b/>
          <w:color w:val="06185F"/>
          <w:sz w:val="20"/>
        </w:rPr>
      </w:pPr>
      <w:r>
        <w:rPr>
          <w:rFonts w:ascii="Poppins;sans-serif" w:hAnsi="Poppins;sans-serif"/>
          <w:b/>
          <w:color w:val="06185F"/>
          <w:sz w:val="20"/>
        </w:rPr>
        <w:t>Impact of Non-GAAP Adjustments</w:t>
      </w:r>
    </w:p>
    <w:p>
      <w:pPr>
        <w:pStyle w:val="TextBody"/>
        <w:bidi w:val="0"/>
        <w:spacing w:lineRule="auto" w:line="288" w:before="0" w:after="0"/>
        <w:jc w:val="both"/>
        <w:rPr>
          <w:rFonts w:ascii="Poppins;sans-serif" w:hAnsi="Poppins;sans-serif"/>
          <w:b w:val="false"/>
          <w:color w:val="000000"/>
          <w:sz w:val="16"/>
        </w:rPr>
      </w:pPr>
      <w:r>
        <w:rPr>
          <w:rFonts w:ascii="Poppins;sans-serif" w:hAnsi="Poppins;sans-serif"/>
          <w:b w:val="false"/>
          <w:color w:val="000000"/>
          <w:sz w:val="16"/>
        </w:rPr>
        <w:t>The tables below show our revenue, operating income, and net income for the fiscal three and nine months ended March 31, 2026, compared to the fiscal three and nine months ended March 31, 2025, excluding the impacts of deconversions in the fiscal quarter and fiscal year-to-date periods ended March 31, 2026, and March 31, 2025, the acquisition in the current fiscal quarter and fiscal year-to-date period, the gain on assets, net, in the current fiscal year-to-date period, and the impact of a contract change in the prior fiscal quarter and fiscal year-to-date period.</w:t>
      </w:r>
    </w:p>
    <w:p>
      <w:pPr>
        <w:pStyle w:val="TextBody"/>
        <w:bidi w:val="0"/>
        <w:spacing w:before="0" w:after="0"/>
        <w:jc w:val="both"/>
        <w:rPr/>
      </w:pPr>
      <w:r>
        <w:rPr/>
      </w:r>
    </w:p>
    <w:tbl>
      <w:tblPr>
        <w:tblW w:w="11652" w:type="dxa"/>
        <w:jc w:val="left"/>
        <w:tblInd w:w="0" w:type="dxa"/>
        <w:tblLayout w:type="fixed"/>
        <w:tblCellMar>
          <w:top w:w="28" w:type="dxa"/>
          <w:left w:w="28" w:type="dxa"/>
          <w:bottom w:w="28" w:type="dxa"/>
          <w:right w:w="28" w:type="dxa"/>
        </w:tblCellMar>
      </w:tblPr>
      <w:tblGrid>
        <w:gridCol w:w="660"/>
        <w:gridCol w:w="382"/>
        <w:gridCol w:w="384"/>
        <w:gridCol w:w="226"/>
        <w:gridCol w:w="961"/>
        <w:gridCol w:w="286"/>
        <w:gridCol w:w="109"/>
        <w:gridCol w:w="109"/>
        <w:gridCol w:w="109"/>
        <w:gridCol w:w="226"/>
        <w:gridCol w:w="961"/>
        <w:gridCol w:w="271"/>
        <w:gridCol w:w="109"/>
        <w:gridCol w:w="109"/>
        <w:gridCol w:w="109"/>
        <w:gridCol w:w="299"/>
        <w:gridCol w:w="302"/>
        <w:gridCol w:w="538"/>
        <w:gridCol w:w="109"/>
        <w:gridCol w:w="109"/>
        <w:gridCol w:w="109"/>
        <w:gridCol w:w="226"/>
        <w:gridCol w:w="1156"/>
        <w:gridCol w:w="286"/>
        <w:gridCol w:w="109"/>
        <w:gridCol w:w="109"/>
        <w:gridCol w:w="109"/>
        <w:gridCol w:w="226"/>
        <w:gridCol w:w="1156"/>
        <w:gridCol w:w="271"/>
        <w:gridCol w:w="109"/>
        <w:gridCol w:w="109"/>
        <w:gridCol w:w="109"/>
        <w:gridCol w:w="299"/>
        <w:gridCol w:w="302"/>
        <w:gridCol w:w="599"/>
      </w:tblGrid>
      <w:tr>
        <w:trPr/>
        <w:tc>
          <w:tcPr>
            <w:tcW w:w="6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(Unaudited, dollars in thousands)</w:t>
            </w:r>
          </w:p>
        </w:tc>
        <w:tc>
          <w:tcPr>
            <w:tcW w:w="32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GAAP Revenue*</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636,245</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585,087</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8.7</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1,900,316</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1,759,916</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8.0</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Adjustments:</w:t>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Deconversion revenue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(18,665)</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(9,644)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(33,504)</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(13,410)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Revenue related to a contract change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(1,201)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(14,672)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Revenue from the acquisition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(1,651)</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(3,595)</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NON-GAAP ADJUSTED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615,929</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574,242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7.3</w:t>
            </w: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1,863,217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1,731,834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7.6</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Operating Income</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155,047</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138,740</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11.8</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498,260</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413,017</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20.6</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Adjustments:</w:t>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Operating income from deconversions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(14,635)</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(6,851)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(25,337)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(9,724)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Operating income related to a contract change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(209)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(2,178)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Gain on assets,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(6,829)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Operating loss from the acquisition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833 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1,817 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OPERATING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141,245</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131,680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7.3</w:t>
            </w: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467,911</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401,115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16.7</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i/>
                <w:color w:val="000000"/>
                <w:sz w:val="18"/>
              </w:rPr>
            </w:pPr>
            <w:r>
              <w:rPr>
                <w:rFonts w:ascii="Poppins;sans-serif" w:hAnsi="Poppins;sans-serif"/>
                <w:b w:val="false"/>
                <w:i/>
                <w:color w:val="000000"/>
                <w:sz w:val="18"/>
              </w:rPr>
              <w:t>Non-GAAP Adjusted Operating Margin**</w:t>
            </w:r>
          </w:p>
        </w:tc>
        <w:tc>
          <w:tcPr>
            <w:tcW w:w="118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22.9</w:t>
            </w:r>
            <w:r>
              <w:rPr>
                <w:color w:val="000000"/>
              </w:rPr>
              <w:t>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22.9 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25.1</w:t>
            </w:r>
            <w:r>
              <w:rPr>
                <w:color w:val="000000"/>
              </w:rPr>
              <w:t>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23.2 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Net Income</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122,894</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111,108</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10.6</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391,549</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328,144</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19.3</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Adjustments:</w:t>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Net income from deconversions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(14,635)</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(6,851)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(25,337)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(9,724)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Net income related to a contract change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(209)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(2,178)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Gain on assets, net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(6,829)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Net loss from the acquisition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833 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1,817 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Tax impact of adjustments***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3,313 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1,694 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7,284 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2,857 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NET INCOME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112,405</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105,742</w:t>
            </w:r>
            <w:r>
              <w:rPr>
                <w:color w:val="000000"/>
              </w:rPr>
              <w:t>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6.3</w:t>
            </w: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368,484</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319,099</w:t>
            </w:r>
            <w:r>
              <w:rPr>
                <w:color w:val="000000"/>
              </w:rPr>
              <w:t>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15.5</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bl>
    <w:p>
      <w:pPr>
        <w:pStyle w:val="TextBody"/>
        <w:bidi w:val="0"/>
        <w:spacing w:lineRule="auto" w:line="288" w:before="0" w:after="60"/>
        <w:jc w:val="both"/>
        <w:rPr>
          <w:rFonts w:ascii="Poppins;sans-serif" w:hAnsi="Poppins;sans-serif"/>
          <w:b w:val="false"/>
          <w:color w:val="000000"/>
          <w:sz w:val="14"/>
        </w:rPr>
      </w:pPr>
      <w:r>
        <w:rPr>
          <w:rFonts w:ascii="Poppins;sans-serif" w:hAnsi="Poppins;sans-serif"/>
          <w:b w:val="false"/>
          <w:color w:val="000000"/>
          <w:sz w:val="14"/>
        </w:rPr>
        <w:t xml:space="preserve">*GAAP revenue is comprised of services and support and processing revenues (see page 2). Services and support revenue less deconversion revenue for the three months ended March 31, 2026, and 2025, which was $18,665 for the current fiscal year quarter and $9,644 for the prior fiscal year quarter, and reducing the three months ended March 31, 2025, amount also for revenue related to a contractual change of $1,201, results in non-GAAP adjusted services and support revenue growth of 8.3% quarter over quarter. Processing revenue less revenue from the acquisition for the three months ended March 31, 2026, of $1,651, results in non-GAAP adjusted processing revenue growth of 6.0% quarter over quarter. </w:t>
      </w:r>
    </w:p>
    <w:p>
      <w:pPr>
        <w:pStyle w:val="TextBody"/>
        <w:bidi w:val="0"/>
        <w:spacing w:lineRule="auto" w:line="288" w:before="0" w:after="100"/>
        <w:jc w:val="both"/>
        <w:rPr>
          <w:rFonts w:ascii="Poppins;sans-serif" w:hAnsi="Poppins;sans-serif"/>
          <w:b w:val="false"/>
          <w:color w:val="000000"/>
          <w:sz w:val="14"/>
        </w:rPr>
      </w:pPr>
      <w:r>
        <w:rPr>
          <w:rFonts w:ascii="Poppins;sans-serif" w:hAnsi="Poppins;sans-serif"/>
          <w:b w:val="false"/>
          <w:color w:val="000000"/>
          <w:sz w:val="14"/>
        </w:rPr>
        <w:t xml:space="preserve">Services and support revenue less deconversion revenue for the nine months ended March 31, 2026, and 2025 which was $33,504 for the current fiscal year period and $13,410 for the prior fiscal year period, and reducing the nine months ended March 31, 2025, amount also for revenue related to a contractual change of $14,672, results in non-GAAP adjusted services and support revenue growth of 7.3% period over period. Processing revenue less revenue from the acquisition for the three months ended March 31, 2026, of $3,595, results in non-GAAP adjusted processing revenue growth of 7.9% period over period. </w:t>
      </w:r>
    </w:p>
    <w:p>
      <w:pPr>
        <w:pStyle w:val="TextBody"/>
        <w:bidi w:val="0"/>
        <w:spacing w:lineRule="auto" w:line="288" w:before="0" w:after="100"/>
        <w:jc w:val="both"/>
        <w:rPr>
          <w:rFonts w:ascii="Poppins;sans-serif" w:hAnsi="Poppins;sans-serif"/>
          <w:b w:val="false"/>
          <w:color w:val="000000"/>
          <w:sz w:val="14"/>
        </w:rPr>
      </w:pPr>
      <w:r>
        <w:rPr>
          <w:rFonts w:ascii="Poppins;sans-serif" w:hAnsi="Poppins;sans-serif"/>
          <w:b w:val="false"/>
          <w:color w:val="000000"/>
          <w:sz w:val="14"/>
        </w:rPr>
        <w:t>**Non-GAAP adjusted operating margin is calculated by dividing non-GAAP adjusted operating income by non-GAAP adjusted revenue.</w:t>
      </w:r>
    </w:p>
    <w:p>
      <w:pPr>
        <w:pStyle w:val="TextBody"/>
        <w:bidi w:val="0"/>
        <w:spacing w:lineRule="auto" w:line="288" w:before="0" w:after="100"/>
        <w:jc w:val="both"/>
        <w:rPr>
          <w:rFonts w:ascii="Poppins;sans-serif" w:hAnsi="Poppins;sans-serif"/>
          <w:b w:val="false"/>
          <w:color w:val="000000"/>
          <w:sz w:val="14"/>
        </w:rPr>
      </w:pPr>
      <w:r>
        <w:rPr>
          <w:rFonts w:ascii="Poppins;sans-serif" w:hAnsi="Poppins;sans-serif"/>
          <w:b w:val="false"/>
          <w:color w:val="000000"/>
          <w:sz w:val="14"/>
        </w:rPr>
        <w:t>***The tax impact of adjustments is calculated using a tax rate of 24% for the fiscal three and nine months ended March 31, 2026, and 2025. The tax rate for non-GAAP adjustment items takes a broad look at the Company's recurring tax adjustments and applies them to non-GAAP revenue that does not have its own specific tax impacts.</w:t>
      </w:r>
    </w:p>
    <w:p>
      <w:pPr>
        <w:pStyle w:val="TextBody"/>
        <w:bidi w:val="0"/>
        <w:spacing w:lineRule="auto" w:line="288" w:before="0" w:after="0"/>
        <w:ind w:left="0" w:right="0" w:hanging="630"/>
        <w:jc w:val="right"/>
        <w:rPr/>
      </w:pPr>
      <w:r>
        <w:rPr/>
        <w:drawing>
          <wp:inline distT="0" distB="0" distL="0" distR="0">
            <wp:extent cx="7772400" cy="95250"/>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20"/>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00735"/>
                <wp:effectExtent l="0" t="0" r="0" b="0"/>
                <wp:wrapNone/>
                <wp:docPr id="26" name="Frame7"/>
                <a:graphic xmlns:a="http://schemas.openxmlformats.org/drawingml/2006/main">
                  <a:graphicData uri="http://schemas.microsoft.com/office/word/2010/wordprocessingShape">
                    <wps:wsp>
                      <wps:cNvSpPr txBox="1"/>
                      <wps:spPr>
                        <a:xfrm>
                          <a:off x="0" y="0"/>
                          <a:ext cx="6480175" cy="800735"/>
                        </a:xfrm>
                        <a:prstGeom prst="rect"/>
                        <a:solidFill>
                          <a:srgbClr val="FFFFFF"/>
                        </a:solidFill>
                      </wps:spPr>
                      <wps:txb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21"/>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05pt;mso-wrap-distance-left:0pt;mso-wrap-distance-right:0pt;mso-wrap-distance-top:0pt;mso-wrap-distance-bottom:0pt;margin-top:0pt;mso-position-vertical:top;mso-position-vertical-relative:text;margin-left:0pt;mso-position-horizontal:left;mso-position-horizontal-relative:text">
                <v:textbo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22"/>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40"/>
        <w:jc w:val="both"/>
        <w:rPr>
          <w:rFonts w:ascii="Poppins;sans-serif" w:hAnsi="Poppins;sans-serif"/>
          <w:b w:val="false"/>
          <w:color w:val="000000"/>
          <w:sz w:val="18"/>
        </w:rPr>
      </w:pPr>
      <w:r>
        <w:rPr>
          <w:rFonts w:ascii="Poppins;sans-serif" w:hAnsi="Poppins;sans-serif"/>
          <w:b w:val="false"/>
          <w:color w:val="000000"/>
          <w:sz w:val="18"/>
        </w:rPr>
        <w:t>The tables below show the segment break-out of revenue and cost of revenue for each period presented, as adjusted for the items above, and include a reconciliation to non-GAAP adjusted operating income presented above.</w:t>
      </w:r>
    </w:p>
    <w:p>
      <w:pPr>
        <w:pStyle w:val="TextBody"/>
        <w:bidi w:val="0"/>
        <w:spacing w:before="120" w:after="140"/>
        <w:jc w:val="both"/>
        <w:rPr/>
      </w:pPr>
      <w:r>
        <w:rPr/>
      </w:r>
    </w:p>
    <w:tbl>
      <w:tblPr>
        <w:tblW w:w="10205" w:type="dxa"/>
        <w:jc w:val="left"/>
        <w:tblInd w:w="0" w:type="dxa"/>
        <w:tblLayout w:type="fixed"/>
        <w:tblCellMar>
          <w:top w:w="28" w:type="dxa"/>
          <w:left w:w="28" w:type="dxa"/>
          <w:bottom w:w="28" w:type="dxa"/>
          <w:right w:w="28" w:type="dxa"/>
        </w:tblCellMar>
      </w:tblPr>
      <w:tblGrid>
        <w:gridCol w:w="705"/>
        <w:gridCol w:w="431"/>
        <w:gridCol w:w="433"/>
        <w:gridCol w:w="226"/>
        <w:gridCol w:w="946"/>
        <w:gridCol w:w="271"/>
        <w:gridCol w:w="109"/>
        <w:gridCol w:w="109"/>
        <w:gridCol w:w="109"/>
        <w:gridCol w:w="226"/>
        <w:gridCol w:w="946"/>
        <w:gridCol w:w="271"/>
        <w:gridCol w:w="109"/>
        <w:gridCol w:w="109"/>
        <w:gridCol w:w="109"/>
        <w:gridCol w:w="272"/>
        <w:gridCol w:w="1141"/>
        <w:gridCol w:w="328"/>
        <w:gridCol w:w="109"/>
        <w:gridCol w:w="109"/>
        <w:gridCol w:w="109"/>
        <w:gridCol w:w="230"/>
        <w:gridCol w:w="864"/>
        <w:gridCol w:w="276"/>
        <w:gridCol w:w="109"/>
        <w:gridCol w:w="109"/>
        <w:gridCol w:w="109"/>
        <w:gridCol w:w="226"/>
        <w:gridCol w:w="946"/>
        <w:gridCol w:w="159"/>
      </w:tblGrid>
      <w:tr>
        <w:trPr/>
        <w:tc>
          <w:tcPr>
            <w:tcW w:w="70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Three Months Ended March 31, 2026</w:t>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(Unaudited, dollars in thousands)</w:t>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Complementary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18"/>
              </w:rPr>
            </w:pPr>
            <w:r>
              <w:rPr>
                <w:rFonts w:ascii="Poppins;sans-serif" w:hAnsi="Poppins;sans-serif"/>
                <w:b/>
                <w:color w:val="000000"/>
                <w:sz w:val="18"/>
              </w:rPr>
              <w:t>Corporate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Total</w:t>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195,448 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232,720 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187,489 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20,588 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636,245 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Non-GAAP adjustments*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(7,506)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(7,574)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(5,054)</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(182)</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(20,316)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REVENUE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187,942 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225,146 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182,435 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20,406 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615,929 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COST OF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81,208 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119,602 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72,192 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90,920 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363,922 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Non-GAAP adjustments*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(1,971)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(1,577)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(482)</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(166)</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(4,196)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COST OF REVENUE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79,237 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118,025 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71,710 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90,754 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359,726 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SEGMENT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114,240 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113,118 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115,297 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(70,332)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i/>
                <w:color w:val="000000"/>
                <w:sz w:val="18"/>
              </w:rPr>
            </w:pPr>
            <w:r>
              <w:rPr>
                <w:rFonts w:ascii="Poppins;sans-serif" w:hAnsi="Poppins;sans-serif"/>
                <w:b w:val="false"/>
                <w:i/>
                <w:color w:val="000000"/>
                <w:sz w:val="18"/>
              </w:rPr>
              <w:t>Segment Income Margin**</w:t>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58.5 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48.6 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61.5 </w:t>
            </w:r>
          </w:p>
        </w:tc>
        <w:tc>
          <w:tcPr>
            <w:tcW w:w="32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(341.6)</w:t>
            </w:r>
          </w:p>
        </w:tc>
        <w:tc>
          <w:tcPr>
            <w:tcW w:w="2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SEGMENT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108,705 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107,121 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110,725 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(70,348)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i/>
                <w:color w:val="000000"/>
                <w:sz w:val="18"/>
              </w:rPr>
            </w:pPr>
            <w:r>
              <w:rPr>
                <w:rFonts w:ascii="Poppins;sans-serif" w:hAnsi="Poppins;sans-serif"/>
                <w:b w:val="false"/>
                <w:i/>
                <w:color w:val="000000"/>
                <w:sz w:val="18"/>
              </w:rPr>
              <w:t>Non-GAAP Adjusted Segment Income Margin**</w:t>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57.8 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47.6 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60.7 </w:t>
            </w:r>
          </w:p>
        </w:tc>
        <w:tc>
          <w:tcPr>
            <w:tcW w:w="32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(344.7)</w:t>
            </w:r>
          </w:p>
        </w:tc>
        <w:tc>
          <w:tcPr>
            <w:tcW w:w="2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Research and Development</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45,110 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Selling, General, and Administrative</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72,166 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Non-GAAP adjustments unassigned to a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(2,318)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TOTAL ADJUSTED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474,684 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141,245 </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both"/>
        <w:rPr>
          <w:rFonts w:ascii="Poppins;sans-serif" w:hAnsi="Poppins;sans-serif"/>
          <w:b w:val="false"/>
          <w:color w:val="000000"/>
          <w:sz w:val="16"/>
        </w:rPr>
      </w:pPr>
      <w:r>
        <w:rPr>
          <w:rFonts w:ascii="Poppins;sans-serif" w:hAnsi="Poppins;sans-serif"/>
          <w:b w:val="false"/>
          <w:color w:val="000000"/>
          <w:sz w:val="16"/>
        </w:rPr>
        <w:t>*Revenue non-GAAP adjustments for the Payments segment were ($1,651) of acquisition revenue and ($5,923) of deconversion revenue. Revenue non-GAAP adjustments for the remainder of the segments were deconversion revenue. Cost of revenue non-GAAP adjustments for the Payments segment were ($1,453) of acquisition costs and ($124) of deconversion costs. Cost of revenue non-GAAP adjustments for the Corporate Services segment were ($160) of acquisition costs and ($6) of deconversion costs. Cost of revenue non-GAAP adjustments for the remainder of the segments were deconversion costs.</w:t>
      </w:r>
    </w:p>
    <w:p>
      <w:pPr>
        <w:pStyle w:val="TextBody"/>
        <w:bidi w:val="0"/>
        <w:spacing w:lineRule="auto" w:line="288" w:before="0" w:after="100"/>
        <w:jc w:val="both"/>
        <w:rPr>
          <w:rFonts w:ascii="Poppins;sans-serif" w:hAnsi="Poppins;sans-serif"/>
          <w:b w:val="false"/>
          <w:color w:val="000000"/>
          <w:sz w:val="16"/>
        </w:rPr>
      </w:pPr>
      <w:r>
        <w:rPr>
          <w:rFonts w:ascii="Poppins;sans-serif" w:hAnsi="Poppins;sans-serif"/>
          <w:b w:val="false"/>
          <w:color w:val="000000"/>
          <w:sz w:val="16"/>
        </w:rPr>
        <w:t>**Segment income margin is calculated by dividing segment income by revenue for each segment. Non-GAAP adjusted segment income margin is calculated by dividing non-GAAP adjusted segment income by non-GAAP adjusted revenue for each segment.</w:t>
      </w:r>
    </w:p>
    <w:p>
      <w:pPr>
        <w:pStyle w:val="TextBody"/>
        <w:bidi w:val="0"/>
        <w:spacing w:lineRule="auto" w:line="288" w:before="0" w:after="0"/>
        <w:jc w:val="both"/>
        <w:rPr>
          <w:rFonts w:ascii="Poppins;sans-serif" w:hAnsi="Poppins;sans-serif"/>
          <w:b w:val="false"/>
          <w:color w:val="000000"/>
          <w:sz w:val="16"/>
        </w:rPr>
      </w:pPr>
      <w:r>
        <w:rPr>
          <w:rFonts w:ascii="Poppins;sans-serif" w:hAnsi="Poppins;sans-serif"/>
          <w:b w:val="false"/>
          <w:color w:val="000000"/>
          <w:sz w:val="16"/>
        </w:rPr>
        <w:t>***Non-GAAP adjustments unassigned to a segment were deconversion costs of $1,446, research and development costs related to the acquisition of $841, and selling, general, and administrative costs related to the acquisition of $31.</w:t>
      </w:r>
    </w:p>
    <w:p>
      <w:pPr>
        <w:pStyle w:val="TextBody"/>
        <w:bidi w:val="0"/>
        <w:spacing w:lineRule="auto" w:line="288" w:before="0" w:after="0"/>
        <w:ind w:left="0" w:right="0" w:hanging="630"/>
        <w:jc w:val="right"/>
        <w:rPr/>
      </w:pPr>
      <w:r>
        <w:rPr/>
        <w:drawing>
          <wp:inline distT="0" distB="0" distL="0" distR="0">
            <wp:extent cx="7772400" cy="95250"/>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3"/>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00735"/>
                <wp:effectExtent l="0" t="0" r="0" b="0"/>
                <wp:wrapNone/>
                <wp:docPr id="30" name="Frame8"/>
                <a:graphic xmlns:a="http://schemas.openxmlformats.org/drawingml/2006/main">
                  <a:graphicData uri="http://schemas.microsoft.com/office/word/2010/wordprocessingShape">
                    <wps:wsp>
                      <wps:cNvSpPr txBox="1"/>
                      <wps:spPr>
                        <a:xfrm>
                          <a:off x="0" y="0"/>
                          <a:ext cx="6480175" cy="800735"/>
                        </a:xfrm>
                        <a:prstGeom prst="rect"/>
                        <a:solidFill>
                          <a:srgbClr val="FFFFFF"/>
                        </a:solidFill>
                      </wps:spPr>
                      <wps:txb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24"/>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05pt;mso-wrap-distance-left:0pt;mso-wrap-distance-right:0pt;mso-wrap-distance-top:0pt;mso-wrap-distance-bottom:0pt;margin-top:0pt;mso-position-vertical:top;mso-position-vertical-relative:text;margin-left:0pt;mso-position-horizontal:left;mso-position-horizontal-relative:text">
                <v:textbo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25"/>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4"/>
        <w:gridCol w:w="431"/>
        <w:gridCol w:w="433"/>
        <w:gridCol w:w="226"/>
        <w:gridCol w:w="946"/>
        <w:gridCol w:w="271"/>
        <w:gridCol w:w="109"/>
        <w:gridCol w:w="109"/>
        <w:gridCol w:w="109"/>
        <w:gridCol w:w="226"/>
        <w:gridCol w:w="946"/>
        <w:gridCol w:w="271"/>
        <w:gridCol w:w="109"/>
        <w:gridCol w:w="109"/>
        <w:gridCol w:w="109"/>
        <w:gridCol w:w="272"/>
        <w:gridCol w:w="1141"/>
        <w:gridCol w:w="328"/>
        <w:gridCol w:w="109"/>
        <w:gridCol w:w="109"/>
        <w:gridCol w:w="109"/>
        <w:gridCol w:w="231"/>
        <w:gridCol w:w="865"/>
        <w:gridCol w:w="277"/>
        <w:gridCol w:w="109"/>
        <w:gridCol w:w="109"/>
        <w:gridCol w:w="109"/>
        <w:gridCol w:w="226"/>
        <w:gridCol w:w="946"/>
        <w:gridCol w:w="157"/>
      </w:tblGrid>
      <w:tr>
        <w:trPr/>
        <w:tc>
          <w:tcPr>
            <w:tcW w:w="70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Three Months Ended March 31, 2025</w:t>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(Unaudited, dollars in thousands)</w:t>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Complementary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18"/>
              </w:rPr>
            </w:pPr>
            <w:r>
              <w:rPr>
                <w:rFonts w:ascii="Poppins;sans-serif" w:hAnsi="Poppins;sans-serif"/>
                <w:b/>
                <w:color w:val="000000"/>
                <w:sz w:val="18"/>
              </w:rPr>
              <w:t>Corporate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Total</w:t>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179,052 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217,449 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172,442 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16,144 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585,087 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Non-GAAP adjustments*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(6,039)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(2,394)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(2,324)</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(88)</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(10,845)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REVENUE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173,013 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215,055 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170,118 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16,056 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574,242 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COST OF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74,713 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116,266 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69,077 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80,530 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340,586 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Non-GAAP adjustments*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(2,232)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(519)</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(2,865)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COST OF REVENUE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72,481 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116,157 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68,558 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80,525 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337,721 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SEGMENT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104,339 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101,183 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103,365 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(64,386)</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i/>
                <w:color w:val="000000"/>
                <w:sz w:val="18"/>
              </w:rPr>
            </w:pPr>
            <w:r>
              <w:rPr>
                <w:rFonts w:ascii="Poppins;sans-serif" w:hAnsi="Poppins;sans-serif"/>
                <w:b w:val="false"/>
                <w:i/>
                <w:color w:val="000000"/>
                <w:sz w:val="18"/>
              </w:rPr>
              <w:t>Segment Income Margin**</w:t>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58.3 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46.5 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59.9 </w:t>
            </w:r>
          </w:p>
        </w:tc>
        <w:tc>
          <w:tcPr>
            <w:tcW w:w="32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(398.8)</w:t>
            </w:r>
          </w:p>
        </w:tc>
        <w:tc>
          <w:tcPr>
            <w:tcW w:w="27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SEGMENT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100,532 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98,898 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101,560 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(64,469)</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i/>
                <w:color w:val="000000"/>
                <w:sz w:val="18"/>
              </w:rPr>
            </w:pPr>
            <w:r>
              <w:rPr>
                <w:rFonts w:ascii="Poppins;sans-serif" w:hAnsi="Poppins;sans-serif"/>
                <w:b w:val="false"/>
                <w:i/>
                <w:color w:val="000000"/>
                <w:sz w:val="18"/>
              </w:rPr>
              <w:t>Non-GAAP Adjusted Segment Income Margin</w:t>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58.1 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46.0 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59.7 </w:t>
            </w:r>
          </w:p>
        </w:tc>
        <w:tc>
          <w:tcPr>
            <w:tcW w:w="32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(401.5)</w:t>
            </w:r>
          </w:p>
        </w:tc>
        <w:tc>
          <w:tcPr>
            <w:tcW w:w="27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Research and Development</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39,411 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Selling, General, and Administrative</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66,350 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01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Non-GAAP adjustments unassigned to a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(920)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TOTAL ADJUSTED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442,562 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131,680 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Poppins;sans-serif" w:hAnsi="Poppins;sans-serif"/>
          <w:b w:val="false"/>
          <w:color w:val="000000"/>
          <w:sz w:val="16"/>
        </w:rPr>
      </w:pPr>
      <w:r>
        <w:rPr>
          <w:rFonts w:ascii="Poppins;sans-serif" w:hAnsi="Poppins;sans-serif"/>
          <w:b w:val="false"/>
          <w:color w:val="000000"/>
          <w:sz w:val="16"/>
        </w:rPr>
        <w:t>*Revenue non-GAAP adjustments for the Core segment were ($1,201) of revenue related to the contractual change and ($4,838) of deconversion revenue. Revenue non-GAAP adjustments for the remainder of the segments were deconversion revenue. Cost of revenue non-GAAP adjustments for the Core segment were cost of revenue related to a contractual change of ($992) and ($1,240) of deconversion costs. Cost of revenue non-GAAP adjustments for the remainder of the segments were deconversion costs.</w:t>
      </w:r>
    </w:p>
    <w:p>
      <w:pPr>
        <w:pStyle w:val="TextBody"/>
        <w:bidi w:val="0"/>
        <w:spacing w:lineRule="auto" w:line="288" w:before="0" w:after="100"/>
        <w:jc w:val="both"/>
        <w:rPr>
          <w:rFonts w:ascii="Poppins;sans-serif" w:hAnsi="Poppins;sans-serif"/>
          <w:b w:val="false"/>
          <w:color w:val="000000"/>
          <w:sz w:val="16"/>
        </w:rPr>
      </w:pPr>
      <w:r>
        <w:rPr>
          <w:rFonts w:ascii="Poppins;sans-serif" w:hAnsi="Poppins;sans-serif"/>
          <w:b w:val="false"/>
          <w:color w:val="000000"/>
          <w:sz w:val="16"/>
        </w:rPr>
        <w:t>**Segment income margin is calculated by dividing segment income by revenue for each segment. Non-GAAP adjusted segment income margin is calculated by dividing non-GAAP adjusted segment income by non-GAAP adjusted revenue for each segment.</w:t>
      </w:r>
    </w:p>
    <w:p>
      <w:pPr>
        <w:pStyle w:val="TextBody"/>
        <w:bidi w:val="0"/>
        <w:spacing w:lineRule="auto" w:line="288" w:before="0" w:after="0"/>
        <w:jc w:val="both"/>
        <w:rPr>
          <w:rFonts w:ascii="Poppins;sans-serif" w:hAnsi="Poppins;sans-serif"/>
          <w:b w:val="false"/>
          <w:color w:val="000000"/>
          <w:sz w:val="16"/>
        </w:rPr>
      </w:pPr>
      <w:r>
        <w:rPr>
          <w:rFonts w:ascii="Poppins;sans-serif" w:hAnsi="Poppins;sans-serif"/>
          <w:b w:val="false"/>
          <w:color w:val="000000"/>
          <w:sz w:val="16"/>
        </w:rPr>
        <w:t>***Non-GAAP adjustments unassigned to a segment were deconversion costs.</w:t>
      </w:r>
    </w:p>
    <w:p>
      <w:pPr>
        <w:pStyle w:val="TextBody"/>
        <w:bidi w:val="0"/>
        <w:spacing w:before="0" w:after="0"/>
        <w:jc w:val="both"/>
        <w:rPr/>
      </w:pPr>
      <w:r>
        <w:rPr/>
      </w:r>
    </w:p>
    <w:p>
      <w:pPr>
        <w:pStyle w:val="TextBody"/>
        <w:bidi w:val="0"/>
        <w:spacing w:before="0" w:after="60"/>
        <w:jc w:val="both"/>
        <w:rPr/>
      </w:pPr>
      <w:r>
        <w:rPr/>
      </w:r>
    </w:p>
    <w:p>
      <w:pPr>
        <w:pStyle w:val="TextBody"/>
        <w:bidi w:val="0"/>
        <w:spacing w:lineRule="auto" w:line="288" w:before="0" w:after="0"/>
        <w:ind w:left="0" w:right="0" w:hanging="630"/>
        <w:jc w:val="right"/>
        <w:rPr/>
      </w:pPr>
      <w:r>
        <w:rPr/>
        <w:drawing>
          <wp:inline distT="0" distB="0" distL="0" distR="0">
            <wp:extent cx="7772400" cy="95250"/>
            <wp:effectExtent l="0" t="0" r="0" b="0"/>
            <wp:docPr id="3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1" descr=""/>
                    <pic:cNvPicPr>
                      <a:picLocks noChangeAspect="1" noChangeArrowheads="1"/>
                    </pic:cNvPicPr>
                  </pic:nvPicPr>
                  <pic:blipFill>
                    <a:blip r:embed="rId26"/>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800735"/>
                <wp:effectExtent l="0" t="0" r="0" b="0"/>
                <wp:wrapNone/>
                <wp:docPr id="34" name="Frame9"/>
                <a:graphic xmlns:a="http://schemas.openxmlformats.org/drawingml/2006/main">
                  <a:graphicData uri="http://schemas.microsoft.com/office/word/2010/wordprocessingShape">
                    <wps:wsp>
                      <wps:cNvSpPr txBox="1"/>
                      <wps:spPr>
                        <a:xfrm>
                          <a:off x="0" y="0"/>
                          <a:ext cx="6480175" cy="800735"/>
                        </a:xfrm>
                        <a:prstGeom prst="rect"/>
                        <a:solidFill>
                          <a:srgbClr val="FFFFFF"/>
                        </a:solidFill>
                      </wps:spPr>
                      <wps:txb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3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0" descr=""/>
                                                <pic:cNvPicPr>
                                                  <a:picLocks noChangeAspect="1" noChangeArrowheads="1"/>
                                                </pic:cNvPicPr>
                                              </pic:nvPicPr>
                                              <pic:blipFill>
                                                <a:blip r:embed="rId27"/>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05pt;mso-wrap-distance-left:0pt;mso-wrap-distance-right:0pt;mso-wrap-distance-top:0pt;mso-wrap-distance-bottom:0pt;margin-top:0pt;mso-position-vertical:top;mso-position-vertical-relative:text;margin-left:0pt;mso-position-horizontal:left;mso-position-horizontal-relative:text">
                <v:textbo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8"/>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325" w:type="dxa"/>
        <w:jc w:val="left"/>
        <w:tblInd w:w="0" w:type="dxa"/>
        <w:tblLayout w:type="fixed"/>
        <w:tblCellMar>
          <w:top w:w="28" w:type="dxa"/>
          <w:left w:w="28" w:type="dxa"/>
          <w:bottom w:w="28" w:type="dxa"/>
          <w:right w:w="28" w:type="dxa"/>
        </w:tblCellMar>
      </w:tblPr>
      <w:tblGrid>
        <w:gridCol w:w="660"/>
        <w:gridCol w:w="382"/>
        <w:gridCol w:w="384"/>
        <w:gridCol w:w="226"/>
        <w:gridCol w:w="946"/>
        <w:gridCol w:w="271"/>
        <w:gridCol w:w="109"/>
        <w:gridCol w:w="109"/>
        <w:gridCol w:w="109"/>
        <w:gridCol w:w="226"/>
        <w:gridCol w:w="946"/>
        <w:gridCol w:w="271"/>
        <w:gridCol w:w="109"/>
        <w:gridCol w:w="109"/>
        <w:gridCol w:w="109"/>
        <w:gridCol w:w="272"/>
        <w:gridCol w:w="1141"/>
        <w:gridCol w:w="328"/>
        <w:gridCol w:w="109"/>
        <w:gridCol w:w="109"/>
        <w:gridCol w:w="109"/>
        <w:gridCol w:w="226"/>
        <w:gridCol w:w="961"/>
        <w:gridCol w:w="271"/>
        <w:gridCol w:w="109"/>
        <w:gridCol w:w="109"/>
        <w:gridCol w:w="109"/>
        <w:gridCol w:w="226"/>
        <w:gridCol w:w="1126"/>
        <w:gridCol w:w="154"/>
      </w:tblGrid>
      <w:tr>
        <w:trPr/>
        <w:tc>
          <w:tcPr>
            <w:tcW w:w="6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Nine Months Ended March 31, 2026</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(Unaudited, dollars in thousands)</w:t>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Complementary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18"/>
              </w:rPr>
            </w:pPr>
            <w:r>
              <w:rPr>
                <w:rFonts w:ascii="Poppins;sans-serif" w:hAnsi="Poppins;sans-serif"/>
                <w:b/>
                <w:color w:val="000000"/>
                <w:sz w:val="18"/>
              </w:rPr>
              <w:t>Corporate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Total</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576,841 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695,588 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563,414 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64,473 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1,900,316 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Non-GAAP adjustments*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(13,775)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(14,399)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(8,632)</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(293)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(37,099)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REVENUE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563,066 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681,189 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554,782 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64,180 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1,863,217 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COST OF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229,130 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358,306 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213,717 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262,323 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1,063,476 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Non-GAAP adjustments*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(3,117)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(4,276)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(1,078)</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(260)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(8,731)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COST OF REVENUE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226,013 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354,030 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212,639 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262,063 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1,054,745 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SEGMENT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347,711 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337,282 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349,697 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(197,850)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i/>
                <w:color w:val="000000"/>
                <w:sz w:val="18"/>
              </w:rPr>
            </w:pPr>
            <w:r>
              <w:rPr>
                <w:rFonts w:ascii="Poppins;sans-serif" w:hAnsi="Poppins;sans-serif"/>
                <w:b w:val="false"/>
                <w:i/>
                <w:color w:val="000000"/>
                <w:sz w:val="18"/>
              </w:rPr>
              <w:t>Segment Income Margin**</w:t>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60.3 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48.5 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62.1 </w:t>
            </w:r>
          </w:p>
        </w:tc>
        <w:tc>
          <w:tcPr>
            <w:tcW w:w="32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(306.9)</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SEGMENT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337,053 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327,159 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342,143 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(197,883)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i/>
                <w:color w:val="000000"/>
                <w:sz w:val="18"/>
              </w:rPr>
            </w:pPr>
            <w:r>
              <w:rPr>
                <w:rFonts w:ascii="Poppins;sans-serif" w:hAnsi="Poppins;sans-serif"/>
                <w:b w:val="false"/>
                <w:i/>
                <w:color w:val="000000"/>
                <w:sz w:val="18"/>
              </w:rPr>
              <w:t>Non-GAAP Adjusted Segment Income Margin</w:t>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59.9 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48.0 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61.7 </w:t>
            </w:r>
          </w:p>
        </w:tc>
        <w:tc>
          <w:tcPr>
            <w:tcW w:w="32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(308.3)</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Research and Development</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126,615 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Selling, General, and Administrative</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211,965 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286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Non-GAAP adjustments unassigned to a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1,981 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TOTAL ADJUSTED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1,395,306 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467,911 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Poppins;sans-serif" w:hAnsi="Poppins;sans-serif"/>
          <w:b w:val="false"/>
          <w:color w:val="000000"/>
          <w:sz w:val="16"/>
        </w:rPr>
      </w:pPr>
      <w:r>
        <w:rPr>
          <w:rFonts w:ascii="Poppins;sans-serif" w:hAnsi="Poppins;sans-serif"/>
          <w:b w:val="false"/>
          <w:color w:val="000000"/>
          <w:sz w:val="16"/>
        </w:rPr>
        <w:t>*Revenue non-GAAP adjustments for the Payments segment were ($3,595) of acquisition revenue and ($10,804) of deconversion revenue. Revenue non-GAAP adjustments for the remainder of the segments were deconversion revenue. Cost of revenue non-GAAP adjustments for the Payments segment were ($3,863) of acquisition costs and ($413) of deconversion costs. Cost of revenue non-GAAP adjustments for the Corporate Services segment were ($253) of acquisition costs and ($7) of deconversion costs. Cost of revenue non-GAAP adjustments for the remainder of the segments were deconversion costs.</w:t>
      </w:r>
    </w:p>
    <w:p>
      <w:pPr>
        <w:pStyle w:val="TextBody"/>
        <w:bidi w:val="0"/>
        <w:spacing w:lineRule="auto" w:line="288" w:before="0" w:after="60"/>
        <w:jc w:val="both"/>
        <w:rPr>
          <w:rFonts w:ascii="Poppins;sans-serif" w:hAnsi="Poppins;sans-serif"/>
          <w:b w:val="false"/>
          <w:color w:val="000000"/>
          <w:sz w:val="16"/>
        </w:rPr>
      </w:pPr>
      <w:r>
        <w:rPr>
          <w:rFonts w:ascii="Poppins;sans-serif" w:hAnsi="Poppins;sans-serif"/>
          <w:b w:val="false"/>
          <w:color w:val="000000"/>
          <w:sz w:val="16"/>
        </w:rPr>
        <w:t>**Segment income margin is calculated by dividing segment income by revenue for each segment. Non-GAAP adjusted segment income margin is calculated by dividing non-GAAP adjusted segment income by non-GAAP adjusted revenue for each segment.</w:t>
      </w:r>
    </w:p>
    <w:p>
      <w:pPr>
        <w:pStyle w:val="TextBody"/>
        <w:bidi w:val="0"/>
        <w:spacing w:lineRule="auto" w:line="288" w:before="0" w:after="60"/>
        <w:jc w:val="both"/>
        <w:rPr>
          <w:rFonts w:ascii="Poppins;sans-serif" w:hAnsi="Poppins;sans-serif"/>
          <w:b w:val="false"/>
          <w:color w:val="000000"/>
          <w:sz w:val="16"/>
        </w:rPr>
      </w:pPr>
      <w:r>
        <w:rPr>
          <w:rFonts w:ascii="Poppins;sans-serif" w:hAnsi="Poppins;sans-serif"/>
          <w:b w:val="false"/>
          <w:color w:val="000000"/>
          <w:sz w:val="16"/>
        </w:rPr>
        <w:t>***Non-GAAP adjustments unassigned to a segment were a gain on assets, net, of $6,829 less deconversion costs of $3,551, research and development costs related to the acquisition of $1,213, and selling, general, and administrative costs related to the acquisition of $84.</w:t>
      </w:r>
    </w:p>
    <w:p>
      <w:pPr>
        <w:pStyle w:val="TextBody"/>
        <w:bidi w:val="0"/>
        <w:spacing w:lineRule="auto" w:line="288" w:before="0" w:after="0"/>
        <w:ind w:left="0" w:right="0" w:hanging="630"/>
        <w:jc w:val="right"/>
        <w:rPr/>
      </w:pPr>
      <w:r>
        <w:rPr/>
        <w:drawing>
          <wp:inline distT="0" distB="0" distL="0" distR="0">
            <wp:extent cx="7772400" cy="95250"/>
            <wp:effectExtent l="0" t="0" r="0" b="0"/>
            <wp:docPr id="3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3" descr=""/>
                    <pic:cNvPicPr>
                      <a:picLocks noChangeAspect="1" noChangeArrowheads="1"/>
                    </pic:cNvPicPr>
                  </pic:nvPicPr>
                  <pic:blipFill>
                    <a:blip r:embed="rId29"/>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00735"/>
                <wp:effectExtent l="0" t="0" r="0" b="0"/>
                <wp:wrapNone/>
                <wp:docPr id="38" name="Frame10"/>
                <a:graphic xmlns:a="http://schemas.openxmlformats.org/drawingml/2006/main">
                  <a:graphicData uri="http://schemas.microsoft.com/office/word/2010/wordprocessingShape">
                    <wps:wsp>
                      <wps:cNvSpPr txBox="1"/>
                      <wps:spPr>
                        <a:xfrm>
                          <a:off x="0" y="0"/>
                          <a:ext cx="6480175" cy="800735"/>
                        </a:xfrm>
                        <a:prstGeom prst="rect"/>
                        <a:solidFill>
                          <a:srgbClr val="FFFFFF"/>
                        </a:solidFill>
                      </wps:spPr>
                      <wps:txb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30"/>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05pt;mso-wrap-distance-left:0pt;mso-wrap-distance-right:0pt;mso-wrap-distance-top:0pt;mso-wrap-distance-bottom:0pt;margin-top:0pt;mso-position-vertical:top;mso-position-vertical-relative:text;margin-left:0pt;mso-position-horizontal:left;mso-position-horizontal-relative:text">
                <v:textbo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4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2" descr=""/>
                                          <pic:cNvPicPr>
                                            <a:picLocks noChangeAspect="1" noChangeArrowheads="1"/>
                                          </pic:cNvPicPr>
                                        </pic:nvPicPr>
                                        <pic:blipFill>
                                          <a:blip r:embed="rId31"/>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325" w:type="dxa"/>
        <w:jc w:val="left"/>
        <w:tblInd w:w="0" w:type="dxa"/>
        <w:tblLayout w:type="fixed"/>
        <w:tblCellMar>
          <w:top w:w="28" w:type="dxa"/>
          <w:left w:w="28" w:type="dxa"/>
          <w:bottom w:w="28" w:type="dxa"/>
          <w:right w:w="28" w:type="dxa"/>
        </w:tblCellMar>
      </w:tblPr>
      <w:tblGrid>
        <w:gridCol w:w="660"/>
        <w:gridCol w:w="382"/>
        <w:gridCol w:w="384"/>
        <w:gridCol w:w="226"/>
        <w:gridCol w:w="946"/>
        <w:gridCol w:w="271"/>
        <w:gridCol w:w="109"/>
        <w:gridCol w:w="109"/>
        <w:gridCol w:w="109"/>
        <w:gridCol w:w="226"/>
        <w:gridCol w:w="946"/>
        <w:gridCol w:w="271"/>
        <w:gridCol w:w="109"/>
        <w:gridCol w:w="109"/>
        <w:gridCol w:w="109"/>
        <w:gridCol w:w="272"/>
        <w:gridCol w:w="1141"/>
        <w:gridCol w:w="328"/>
        <w:gridCol w:w="109"/>
        <w:gridCol w:w="109"/>
        <w:gridCol w:w="109"/>
        <w:gridCol w:w="226"/>
        <w:gridCol w:w="961"/>
        <w:gridCol w:w="271"/>
        <w:gridCol w:w="109"/>
        <w:gridCol w:w="109"/>
        <w:gridCol w:w="109"/>
        <w:gridCol w:w="226"/>
        <w:gridCol w:w="1126"/>
        <w:gridCol w:w="154"/>
      </w:tblGrid>
      <w:tr>
        <w:trPr/>
        <w:tc>
          <w:tcPr>
            <w:tcW w:w="6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Nine Months Ended March 31, 2025</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(Unaudited, dollars in thousands)</w:t>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Complementary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18"/>
              </w:rPr>
            </w:pPr>
            <w:r>
              <w:rPr>
                <w:rFonts w:ascii="Poppins;sans-serif" w:hAnsi="Poppins;sans-serif"/>
                <w:b/>
                <w:color w:val="000000"/>
                <w:sz w:val="18"/>
              </w:rPr>
              <w:t>Corporate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Total</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544,948 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644,207 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514,454 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56,307 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1,759,916 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Non-GAAP adjustments*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(20,777)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(4,341)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(2,857)</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(28,082)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REVENUE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524,171 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639,866 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511,597 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56,200 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1,731,834 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COST OF REVENUE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225,850 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344,023 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200,763 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246,232 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1,016,868 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Non-GAAP adjustments*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(13,859)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(678)</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(14,722)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COST OF REVENUE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211,991 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343,843 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200,085 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246,227 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1,002,146 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SEGMENT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319,098 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300,184 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313,691 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(189,925)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i/>
                <w:color w:val="000000"/>
                <w:sz w:val="18"/>
              </w:rPr>
            </w:pPr>
            <w:r>
              <w:rPr>
                <w:rFonts w:ascii="Poppins;sans-serif" w:hAnsi="Poppins;sans-serif"/>
                <w:b w:val="false"/>
                <w:i/>
                <w:color w:val="000000"/>
                <w:sz w:val="18"/>
              </w:rPr>
              <w:t>Segment Income Margin**</w:t>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58.6 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46.6 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61.0 </w:t>
            </w:r>
          </w:p>
        </w:tc>
        <w:tc>
          <w:tcPr>
            <w:tcW w:w="32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(337.3)</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SEGMENT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312,180 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296,023 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311,512 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(190,027)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i/>
                <w:color w:val="000000"/>
                <w:sz w:val="18"/>
              </w:rPr>
            </w:pPr>
            <w:r>
              <w:rPr>
                <w:rFonts w:ascii="Poppins;sans-serif" w:hAnsi="Poppins;sans-serif"/>
                <w:b w:val="false"/>
                <w:i/>
                <w:color w:val="000000"/>
                <w:sz w:val="18"/>
              </w:rPr>
              <w:t>Non-GAAP Adjusted Segment Income Margin</w:t>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59.6 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46.3 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60.9 </w:t>
            </w:r>
          </w:p>
        </w:tc>
        <w:tc>
          <w:tcPr>
            <w:tcW w:w="32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(338.1)</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Research and Development</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120,192 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Selling, General, and Administrative</w:t>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209,839 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286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Non-GAAP adjustments unassigned to a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(1,458)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TOTAL ADJUSTED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1,330,719 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401,115 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Poppins;sans-serif" w:hAnsi="Poppins;sans-serif"/>
          <w:b w:val="false"/>
          <w:color w:val="000000"/>
          <w:sz w:val="16"/>
        </w:rPr>
      </w:pPr>
      <w:r>
        <w:rPr>
          <w:rFonts w:ascii="Poppins;sans-serif" w:hAnsi="Poppins;sans-serif"/>
          <w:b w:val="false"/>
          <w:color w:val="000000"/>
          <w:sz w:val="16"/>
        </w:rPr>
        <w:t>*Revenue non-GAAP adjustments for the Core segment were ($14,672) of revenue related to the contractual change and ($6,105) of deconversion revenue. Revenue non-GAAP adjustments for the remainder of the segments were deconversion revenue. Cost of revenue non-GAAP adjustments for the Core segment were cost of revenue related to a contractual change of ($12,494) and ($1,365) of deconversion costs. Cost of revenue non-GAAP adjustments for the remainder of the segments were deconversion costs.</w:t>
      </w:r>
    </w:p>
    <w:p>
      <w:pPr>
        <w:pStyle w:val="TextBody"/>
        <w:bidi w:val="0"/>
        <w:spacing w:lineRule="auto" w:line="288" w:before="0" w:after="100"/>
        <w:jc w:val="both"/>
        <w:rPr>
          <w:rFonts w:ascii="Poppins;sans-serif" w:hAnsi="Poppins;sans-serif"/>
          <w:b w:val="false"/>
          <w:color w:val="000000"/>
          <w:sz w:val="16"/>
        </w:rPr>
      </w:pPr>
      <w:r>
        <w:rPr>
          <w:rFonts w:ascii="Poppins;sans-serif" w:hAnsi="Poppins;sans-serif"/>
          <w:b w:val="false"/>
          <w:color w:val="000000"/>
          <w:sz w:val="16"/>
        </w:rPr>
        <w:t>**Segment income margin is calculated by dividing segment income by revenue for each segment. Non-GAAP adjusted segment income margin is calculated by dividing non-GAAP adjusted segment income by non-GAAP adjusted revenue for each segment.</w:t>
      </w:r>
    </w:p>
    <w:p>
      <w:pPr>
        <w:pStyle w:val="TextBody"/>
        <w:bidi w:val="0"/>
        <w:spacing w:lineRule="auto" w:line="288" w:before="0" w:after="0"/>
        <w:jc w:val="both"/>
        <w:rPr>
          <w:rFonts w:ascii="Poppins;sans-serif" w:hAnsi="Poppins;sans-serif"/>
          <w:b w:val="false"/>
          <w:color w:val="000000"/>
          <w:sz w:val="16"/>
        </w:rPr>
      </w:pPr>
      <w:r>
        <w:rPr>
          <w:rFonts w:ascii="Poppins;sans-serif" w:hAnsi="Poppins;sans-serif"/>
          <w:b w:val="false"/>
          <w:color w:val="000000"/>
          <w:sz w:val="16"/>
        </w:rPr>
        <w:t>***Non-GAAP adjustments unassigned to a segment were deconversion costs.</w:t>
      </w:r>
    </w:p>
    <w:p>
      <w:pPr>
        <w:pStyle w:val="TextBody"/>
        <w:bidi w:val="0"/>
        <w:spacing w:lineRule="auto" w:line="288" w:before="0" w:after="0"/>
        <w:ind w:left="0" w:right="0" w:hanging="630"/>
        <w:jc w:val="right"/>
        <w:rPr/>
      </w:pPr>
      <w:r>
        <w:rPr/>
        <w:drawing>
          <wp:inline distT="0" distB="0" distL="0" distR="0">
            <wp:extent cx="7772400" cy="95250"/>
            <wp:effectExtent l="0" t="0" r="0" b="0"/>
            <wp:docPr id="4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5" descr=""/>
                    <pic:cNvPicPr>
                      <a:picLocks noChangeAspect="1" noChangeArrowheads="1"/>
                    </pic:cNvPicPr>
                  </pic:nvPicPr>
                  <pic:blipFill>
                    <a:blip r:embed="rId32"/>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00735"/>
                <wp:effectExtent l="0" t="0" r="0" b="0"/>
                <wp:wrapNone/>
                <wp:docPr id="42" name="Frame11"/>
                <a:graphic xmlns:a="http://schemas.openxmlformats.org/drawingml/2006/main">
                  <a:graphicData uri="http://schemas.microsoft.com/office/word/2010/wordprocessingShape">
                    <wps:wsp>
                      <wps:cNvSpPr txBox="1"/>
                      <wps:spPr>
                        <a:xfrm>
                          <a:off x="0" y="0"/>
                          <a:ext cx="6480175" cy="800735"/>
                        </a:xfrm>
                        <a:prstGeom prst="rect"/>
                        <a:solidFill>
                          <a:srgbClr val="FFFFFF"/>
                        </a:solidFill>
                      </wps:spPr>
                      <wps:txb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4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4" descr=""/>
                                                <pic:cNvPicPr>
                                                  <a:picLocks noChangeAspect="1" noChangeArrowheads="1"/>
                                                </pic:cNvPicPr>
                                              </pic:nvPicPr>
                                              <pic:blipFill>
                                                <a:blip r:embed="rId33"/>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05pt;mso-wrap-distance-left:0pt;mso-wrap-distance-right:0pt;mso-wrap-distance-top:0pt;mso-wrap-distance-bottom:0pt;margin-top:0pt;mso-position-vertical:top;mso-position-vertical-relative:text;margin-left:0pt;mso-position-horizontal:left;mso-position-horizontal-relative:text">
                <v:textbo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4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4" descr=""/>
                                          <pic:cNvPicPr>
                                            <a:picLocks noChangeAspect="1" noChangeArrowheads="1"/>
                                          </pic:cNvPicPr>
                                        </pic:nvPicPr>
                                        <pic:blipFill>
                                          <a:blip r:embed="rId34"/>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jc w:val="both"/>
        <w:rPr>
          <w:rFonts w:ascii="Poppins;sans-serif" w:hAnsi="Poppins;sans-serif"/>
          <w:b w:val="false"/>
          <w:color w:val="000000"/>
          <w:sz w:val="18"/>
        </w:rPr>
      </w:pPr>
      <w:r>
        <w:rPr>
          <w:rFonts w:ascii="Poppins;sans-serif" w:hAnsi="Poppins;sans-serif"/>
          <w:b w:val="false"/>
          <w:color w:val="000000"/>
          <w:sz w:val="18"/>
        </w:rPr>
        <w:t>The table below shows our GAAP to non-GAAP guidance for the fiscal year ending June 30, 2026. Fiscal year 2026 non-GAAP guidance excludes the impacts of deconversion revenue and related operating expenses, acquisition revenues and related operating expenses, the revenues and operating expenses related to a contractual change, and the gain on assets, net, and assumes no additional acquisitions or dispositions will be made during the fiscal year.</w:t>
      </w:r>
    </w:p>
    <w:p>
      <w:pPr>
        <w:pStyle w:val="TextBody"/>
        <w:bidi w:val="0"/>
        <w:spacing w:before="0" w:after="60"/>
        <w:jc w:val="both"/>
        <w:rPr/>
      </w:pPr>
      <w:r>
        <w:rPr/>
      </w:r>
    </w:p>
    <w:tbl>
      <w:tblPr>
        <w:tblW w:w="12581" w:type="dxa"/>
        <w:jc w:val="left"/>
        <w:tblInd w:w="0" w:type="dxa"/>
        <w:tblLayout w:type="fixed"/>
        <w:tblCellMar>
          <w:top w:w="28" w:type="dxa"/>
          <w:left w:w="28" w:type="dxa"/>
          <w:bottom w:w="28" w:type="dxa"/>
          <w:right w:w="28" w:type="dxa"/>
        </w:tblCellMar>
      </w:tblPr>
      <w:tblGrid>
        <w:gridCol w:w="124"/>
        <w:gridCol w:w="109"/>
        <w:gridCol w:w="109"/>
        <w:gridCol w:w="640"/>
        <w:gridCol w:w="385"/>
        <w:gridCol w:w="386"/>
        <w:gridCol w:w="109"/>
        <w:gridCol w:w="109"/>
        <w:gridCol w:w="109"/>
        <w:gridCol w:w="109"/>
        <w:gridCol w:w="109"/>
        <w:gridCol w:w="109"/>
        <w:gridCol w:w="109"/>
        <w:gridCol w:w="109"/>
        <w:gridCol w:w="226"/>
        <w:gridCol w:w="721"/>
        <w:gridCol w:w="286"/>
        <w:gridCol w:w="109"/>
        <w:gridCol w:w="109"/>
        <w:gridCol w:w="109"/>
        <w:gridCol w:w="226"/>
        <w:gridCol w:w="721"/>
        <w:gridCol w:w="286"/>
        <w:gridCol w:w="440"/>
        <w:gridCol w:w="440"/>
        <w:gridCol w:w="441"/>
        <w:gridCol w:w="226"/>
        <w:gridCol w:w="721"/>
        <w:gridCol w:w="286"/>
        <w:gridCol w:w="350"/>
        <w:gridCol w:w="350"/>
        <w:gridCol w:w="351"/>
        <w:gridCol w:w="226"/>
        <w:gridCol w:w="721"/>
        <w:gridCol w:w="286"/>
        <w:gridCol w:w="435"/>
        <w:gridCol w:w="435"/>
        <w:gridCol w:w="436"/>
        <w:gridCol w:w="226"/>
        <w:gridCol w:w="4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GAAP to Non-GAAP GUIDANCE (Dollars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9"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18"/>
              </w:rPr>
            </w:pPr>
            <w:r>
              <w:rPr>
                <w:rFonts w:ascii="Poppins;sans-serif" w:hAnsi="Poppins;sans-serif"/>
                <w:b/>
                <w:color w:val="000000"/>
                <w:sz w:val="18"/>
              </w:rPr>
              <w:t>Annual FY'26</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18"/>
              </w:rPr>
            </w:pPr>
            <w:r>
              <w:rPr>
                <w:rFonts w:ascii="Poppins;sans-serif" w:hAnsi="Poppins;sans-serif"/>
                <w:b/>
                <w:color w:val="000000"/>
                <w:sz w:val="18"/>
              </w:rPr>
              <w:t>Adjusted for FY26 Comparison</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18"/>
              </w:rPr>
            </w:pPr>
            <w:r>
              <w:rPr>
                <w:rFonts w:ascii="Poppins;sans-serif" w:hAnsi="Poppins;sans-serif"/>
                <w:b/>
                <w:color w:val="000000"/>
                <w:sz w:val="18"/>
              </w:rPr>
              <w:t>Reported</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18"/>
              </w:rPr>
            </w:pPr>
            <w:r>
              <w:rPr>
                <w:rFonts w:ascii="Poppins;sans-serif" w:hAnsi="Poppins;sans-serif"/>
                <w:b/>
                <w:color w:val="000000"/>
                <w:sz w:val="18"/>
              </w:rPr>
              <w:t>Contractual Change</w:t>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High</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18"/>
                <w:u w:val="single"/>
              </w:rPr>
            </w:pPr>
            <w:r>
              <w:rPr>
                <w:rFonts w:ascii="Poppins;sans-serif" w:hAnsi="Poppins;sans-serif"/>
                <w:b/>
                <w:color w:val="000000"/>
                <w:sz w:val="18"/>
                <w:u w:val="single"/>
              </w:rPr>
              <w:t>FY25</w:t>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18"/>
                <w:u w:val="single"/>
              </w:rPr>
            </w:pPr>
            <w:r>
              <w:rPr>
                <w:rFonts w:ascii="Poppins;sans-serif" w:hAnsi="Poppins;sans-serif"/>
                <w:b/>
                <w:color w:val="000000"/>
                <w:sz w:val="18"/>
                <w:u w:val="single"/>
              </w:rPr>
              <w:t>FY25</w:t>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Poppins;sans-serif" w:hAnsi="Poppins;sans-serif"/>
                <w:b/>
                <w:color w:val="000000"/>
                <w:sz w:val="18"/>
                <w:u w:val="single"/>
              </w:rPr>
            </w:pPr>
            <w:r>
              <w:rPr>
                <w:rFonts w:ascii="Poppins;sans-serif" w:hAnsi="Poppins;sans-serif"/>
                <w:b/>
                <w:color w:val="000000"/>
                <w:sz w:val="18"/>
                <w:u w:val="single"/>
              </w:rPr>
              <w:t>FY25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2,521</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2,533</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2,375</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2,375</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val="false"/>
                <w:i/>
                <w:color w:val="000000"/>
                <w:sz w:val="18"/>
              </w:rPr>
              <w:t>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6.1</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Deconversions*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37</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37</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Contractual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16</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NON-GAAP ADJUSTED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2,479</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2,491</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2,326</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2,341</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val="false"/>
                <w:i/>
                <w:color w:val="000000"/>
                <w:sz w:val="18"/>
              </w:rPr>
              <w:t>Non-GAAP Adjusted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7.1</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1,899</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1,903</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1,807</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1,807</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val="false"/>
                <w:i/>
                <w:color w:val="000000"/>
                <w:sz w:val="18"/>
              </w:rPr>
              <w:t>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5.1</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5.3</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Deconversion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12</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12</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Contractual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Gain on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NON-GAAP ADJUSTED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1,886</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1,890</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1,787</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1,800</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val="false"/>
                <w:i/>
                <w:color w:val="000000"/>
                <w:sz w:val="18"/>
              </w:rPr>
              <w:t>Non-GAAP Adjusted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5.8</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622</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630</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569</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569</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val="false"/>
                <w:i/>
                <w:color w:val="000000"/>
                <w:sz w:val="18"/>
              </w:rPr>
              <w:t>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9.3</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GAAP 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24.7</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24.9</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23.9</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23.9</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NON-GAAP ADJUSTED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593</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601</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539</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541</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val="false"/>
                <w:i/>
                <w:color w:val="000000"/>
                <w:sz w:val="18"/>
              </w:rPr>
              <w:t>Non-GAAP Adjusted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10.1</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11.5</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ADJUSTED 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23.9</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24.1</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23.2</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23.1</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GAAP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6.78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6.87</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6.24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6.24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Poppins;sans-serif" w:hAnsi="Poppins;sans-serif"/>
                <w:b w:val="false"/>
                <w:i/>
                <w:color w:val="000000"/>
                <w:sz w:val="18"/>
              </w:rPr>
              <w:t>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Poppins;sans-serif" w:hAnsi="Poppins;sans-serif"/>
          <w:b w:val="false"/>
          <w:color w:val="000000"/>
          <w:sz w:val="16"/>
        </w:rPr>
      </w:pPr>
      <w:r>
        <w:rPr>
          <w:rFonts w:ascii="Poppins;sans-serif" w:hAnsi="Poppins;sans-serif"/>
          <w:b w:val="false"/>
          <w:color w:val="000000"/>
          <w:sz w:val="16"/>
        </w:rPr>
        <w:t>*Deconversion revenue and related operating expenses are based on actual results for fiscal nine months ended March 31, 2026, and estimates for the remainder of the fiscal year 2026. See the Company’s Form 8-K filed with the Securities and Exchange Commission on April 28, 2026.</w:t>
      </w:r>
    </w:p>
    <w:p>
      <w:pPr>
        <w:pStyle w:val="TextBody"/>
        <w:bidi w:val="0"/>
        <w:spacing w:lineRule="auto" w:line="288" w:before="0" w:after="60"/>
        <w:jc w:val="both"/>
        <w:rPr>
          <w:rFonts w:ascii="Poppins;sans-serif" w:hAnsi="Poppins;sans-serif"/>
          <w:b w:val="false"/>
          <w:color w:val="000000"/>
          <w:sz w:val="16"/>
        </w:rPr>
      </w:pPr>
      <w:r>
        <w:rPr>
          <w:rFonts w:ascii="Poppins;sans-serif" w:hAnsi="Poppins;sans-serif"/>
          <w:b w:val="false"/>
          <w:color w:val="000000"/>
          <w:sz w:val="16"/>
        </w:rPr>
        <w:t>**GAAP to Non-GAAP revenue, operating expenses, and operating income may not foot due to rounding.</w:t>
      </w:r>
    </w:p>
    <w:p>
      <w:pPr>
        <w:pStyle w:val="TextBody"/>
        <w:bidi w:val="0"/>
        <w:spacing w:before="0" w:after="60"/>
        <w:jc w:val="both"/>
        <w:rPr/>
      </w:pPr>
      <w:r>
        <w:rPr/>
      </w:r>
    </w:p>
    <w:p>
      <w:pPr>
        <w:pStyle w:val="TextBody"/>
        <w:bidi w:val="0"/>
        <w:spacing w:lineRule="auto" w:line="288" w:before="0" w:after="0"/>
        <w:ind w:left="0" w:right="0" w:hanging="630"/>
        <w:jc w:val="right"/>
        <w:rPr/>
      </w:pPr>
      <w:r>
        <w:rPr/>
        <w:drawing>
          <wp:inline distT="0" distB="0" distL="0" distR="0">
            <wp:extent cx="7772400" cy="95250"/>
            <wp:effectExtent l="0" t="0" r="0" b="0"/>
            <wp:docPr id="4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7" descr=""/>
                    <pic:cNvPicPr>
                      <a:picLocks noChangeAspect="1" noChangeArrowheads="1"/>
                    </pic:cNvPicPr>
                  </pic:nvPicPr>
                  <pic:blipFill>
                    <a:blip r:embed="rId35"/>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00735"/>
                <wp:effectExtent l="0" t="0" r="0" b="0"/>
                <wp:wrapNone/>
                <wp:docPr id="46" name="Frame12"/>
                <a:graphic xmlns:a="http://schemas.openxmlformats.org/drawingml/2006/main">
                  <a:graphicData uri="http://schemas.microsoft.com/office/word/2010/wordprocessingShape">
                    <wps:wsp>
                      <wps:cNvSpPr txBox="1"/>
                      <wps:spPr>
                        <a:xfrm>
                          <a:off x="0" y="0"/>
                          <a:ext cx="6480175" cy="800735"/>
                        </a:xfrm>
                        <a:prstGeom prst="rect"/>
                        <a:solidFill>
                          <a:srgbClr val="FFFFFF"/>
                        </a:solidFill>
                      </wps:spPr>
                      <wps:txb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4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6" descr=""/>
                                                <pic:cNvPicPr>
                                                  <a:picLocks noChangeAspect="1" noChangeArrowheads="1"/>
                                                </pic:cNvPicPr>
                                              </pic:nvPicPr>
                                              <pic:blipFill>
                                                <a:blip r:embed="rId36"/>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05pt;mso-wrap-distance-left:0pt;mso-wrap-distance-right:0pt;mso-wrap-distance-top:0pt;mso-wrap-distance-bottom:0pt;margin-top:0pt;mso-position-vertical:top;mso-position-vertical-relative:text;margin-left:0pt;mso-position-horizontal:left;mso-position-horizontal-relative:text">
                <v:textbox>
                  <w:txbxContent>
                    <w:tbl>
                      <w:tblPr>
                        <w:tblW w:w="2960"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4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6" descr=""/>
                                          <pic:cNvPicPr>
                                            <a:picLocks noChangeAspect="1" noChangeArrowheads="1"/>
                                          </pic:cNvPicPr>
                                        </pic:nvPicPr>
                                        <pic:blipFill>
                                          <a:blip r:embed="rId37"/>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Poppins;sans-serif" w:hAnsi="Poppins;sans-serif"/>
          <w:b/>
          <w:color w:val="06185F"/>
          <w:sz w:val="20"/>
        </w:rPr>
      </w:pPr>
      <w:r>
        <w:rPr>
          <w:rFonts w:ascii="Poppins;sans-serif" w:hAnsi="Poppins;sans-serif"/>
          <w:b/>
          <w:color w:val="06185F"/>
          <w:sz w:val="20"/>
        </w:rPr>
        <w:t>Balance Sheet and Cash Flow Review</w:t>
      </w:r>
    </w:p>
    <w:p>
      <w:pPr>
        <w:pStyle w:val="TextBody"/>
        <w:bidi w:val="0"/>
        <w:spacing w:lineRule="auto" w:line="276" w:before="0" w:after="120"/>
        <w:ind w:left="0" w:right="0" w:hanging="180"/>
        <w:jc w:val="both"/>
        <w:rPr/>
      </w:pPr>
      <w:r>
        <w:rPr/>
        <w:drawing>
          <wp:inline distT="0" distB="0" distL="0" distR="0">
            <wp:extent cx="3095625" cy="1857375"/>
            <wp:effectExtent l="0" t="0" r="0" b="0"/>
            <wp:docPr id="4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8" descr=""/>
                    <pic:cNvPicPr>
                      <a:picLocks noChangeAspect="1" noChangeArrowheads="1"/>
                    </pic:cNvPicPr>
                  </pic:nvPicPr>
                  <pic:blipFill>
                    <a:blip r:embed="rId38"/>
                    <a:stretch>
                      <a:fillRect/>
                    </a:stretch>
                  </pic:blipFill>
                  <pic:spPr bwMode="auto">
                    <a:xfrm>
                      <a:off x="0" y="0"/>
                      <a:ext cx="3095625" cy="1857375"/>
                    </a:xfrm>
                    <a:prstGeom prst="rect">
                      <a:avLst/>
                    </a:prstGeom>
                  </pic:spPr>
                </pic:pic>
              </a:graphicData>
            </a:graphic>
          </wp:inline>
        </w:drawing>
      </w:r>
      <w:r>
        <w:rPr>
          <w:color w:val="000000"/>
        </w:rPr>
        <w:t>    </w:t>
      </w:r>
      <w:r>
        <w:rPr/>
        <w:drawing>
          <wp:inline distT="0" distB="0" distL="0" distR="0">
            <wp:extent cx="3095625" cy="1857375"/>
            <wp:effectExtent l="0" t="0" r="0" b="0"/>
            <wp:docPr id="5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9" descr=""/>
                    <pic:cNvPicPr>
                      <a:picLocks noChangeAspect="1" noChangeArrowheads="1"/>
                    </pic:cNvPicPr>
                  </pic:nvPicPr>
                  <pic:blipFill>
                    <a:blip r:embed="rId39"/>
                    <a:stretch>
                      <a:fillRect/>
                    </a:stretch>
                  </pic:blipFill>
                  <pic:spPr bwMode="auto">
                    <a:xfrm>
                      <a:off x="0" y="0"/>
                      <a:ext cx="3095625" cy="1857375"/>
                    </a:xfrm>
                    <a:prstGeom prst="rect">
                      <a:avLst/>
                    </a:prstGeom>
                  </pic:spPr>
                </pic:pic>
              </a:graphicData>
            </a:graphic>
          </wp:inline>
        </w:drawing>
      </w:r>
      <w:r>
        <w:rPr/>
        <w:drawing>
          <wp:inline distT="0" distB="0" distL="0" distR="0">
            <wp:extent cx="3000375" cy="1714500"/>
            <wp:effectExtent l="0" t="0" r="0" b="0"/>
            <wp:docPr id="5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0" descr=""/>
                    <pic:cNvPicPr>
                      <a:picLocks noChangeAspect="1" noChangeArrowheads="1"/>
                    </pic:cNvPicPr>
                  </pic:nvPicPr>
                  <pic:blipFill>
                    <a:blip r:embed="rId40"/>
                    <a:stretch>
                      <a:fillRect/>
                    </a:stretch>
                  </pic:blipFill>
                  <pic:spPr bwMode="auto">
                    <a:xfrm>
                      <a:off x="0" y="0"/>
                      <a:ext cx="3000375" cy="1714500"/>
                    </a:xfrm>
                    <a:prstGeom prst="rect">
                      <a:avLst/>
                    </a:prstGeom>
                  </pic:spPr>
                </pic:pic>
              </a:graphicData>
            </a:graphic>
          </wp:inline>
        </w:drawing>
      </w:r>
      <w:r>
        <w:rPr>
          <w:color w:val="000000"/>
          <w:shd w:fill="FFFFFF" w:val="clear"/>
        </w:rPr>
        <w:t>    </w:t>
      </w:r>
      <w:r>
        <w:rPr/>
        <w:drawing>
          <wp:inline distT="0" distB="0" distL="0" distR="0">
            <wp:extent cx="3000375" cy="1714500"/>
            <wp:effectExtent l="0" t="0" r="0" b="0"/>
            <wp:docPr id="5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1" descr=""/>
                    <pic:cNvPicPr>
                      <a:picLocks noChangeAspect="1" noChangeArrowheads="1"/>
                    </pic:cNvPicPr>
                  </pic:nvPicPr>
                  <pic:blipFill>
                    <a:blip r:embed="rId41"/>
                    <a:stretch>
                      <a:fillRect/>
                    </a:stretch>
                  </pic:blipFill>
                  <pic:spPr bwMode="auto">
                    <a:xfrm>
                      <a:off x="0" y="0"/>
                      <a:ext cx="3000375" cy="1714500"/>
                    </a:xfrm>
                    <a:prstGeom prst="rect">
                      <a:avLst/>
                    </a:prstGeom>
                  </pic:spPr>
                </pic:pic>
              </a:graphicData>
            </a:graphic>
          </wp:inline>
        </w:drawing>
      </w:r>
      <w:r>
        <w:rPr>
          <w:color w:val="000000"/>
          <w:shd w:fill="FFFFFF" w:val="clear"/>
        </w:rPr>
        <w:t>    </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Cash and cash equivalents were $21 million at March 31, 2026, compared to $40 million at March 31, 2025.</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 xml:space="preserve">Trade receivables were $282 million at March 31, 2026, and March 31, 2025. </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The Company had $90 million of borrowings at March 31, 2026, compared to $170 million of borrowings at March 31, 2025.</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Deferred revenue was $209 million at March 31, 2026, compared to $222 million at March 31, 2025.</w:t>
      </w:r>
    </w:p>
    <w:p>
      <w:pPr>
        <w:pStyle w:val="TextBody"/>
        <w:bidi w:val="0"/>
        <w:spacing w:lineRule="auto" w:line="288" w:before="100" w:after="120"/>
        <w:ind w:left="0" w:right="0" w:hanging="360"/>
        <w:jc w:val="both"/>
        <w:rPr/>
      </w:pPr>
      <w:r>
        <w:rPr>
          <w:color w:val="000000"/>
        </w:rPr>
        <w:t>•</w:t>
      </w:r>
      <w:r>
        <w:rPr>
          <w:rFonts w:ascii="Poppins;sans-serif" w:hAnsi="Poppins;sans-serif"/>
          <w:b w:val="false"/>
          <w:color w:val="000000"/>
          <w:sz w:val="18"/>
        </w:rPr>
        <w:t>Stockholders' equity increased to $2,135 million at March 31, 2026, compared to $2,036 million at March 31, 2025.</w:t>
      </w:r>
    </w:p>
    <w:p>
      <w:pPr>
        <w:pStyle w:val="TextBody"/>
        <w:bidi w:val="0"/>
        <w:spacing w:lineRule="auto" w:line="288" w:before="60" w:after="283"/>
        <w:jc w:val="both"/>
        <w:rPr/>
      </w:pPr>
      <w:r>
        <w:rPr>
          <w:rFonts w:ascii="Poppins;sans-serif" w:hAnsi="Poppins;sans-serif"/>
          <w:b w:val="false"/>
          <w:color w:val="000000"/>
          <w:sz w:val="16"/>
        </w:rPr>
        <w:t>*</w:t>
      </w:r>
      <w:r>
        <w:rPr>
          <w:rFonts w:ascii="Poppins;sans-serif" w:hAnsi="Poppins;sans-serif"/>
          <w:b w:val="false"/>
          <w:color w:val="000000"/>
          <w:sz w:val="14"/>
        </w:rPr>
        <w:t>See table below for Net Cash Provided by Operating Activities and on page 14 for Return on Average Stockholders’ Equity. Tables reconciling the non-GAAP measures Free Cash Flow and Net Operating Profit After Tax Return on Invested Capital (NOPAT ROIC) to GAAP measures are on pages 14 and 15. See the Use of Non-GAAP Financial Information section below for the definitions of Free Cash Flow and NOPAT ROIC.</w:t>
      </w:r>
    </w:p>
    <w:p>
      <w:pPr>
        <w:pStyle w:val="TextBody"/>
        <w:bidi w:val="0"/>
        <w:spacing w:before="60" w:after="120"/>
        <w:jc w:val="both"/>
        <w:rPr/>
      </w:pPr>
      <w:r>
        <w:rPr/>
      </w:r>
    </w:p>
    <w:p>
      <w:pPr>
        <w:pStyle w:val="TextBody"/>
        <w:bidi w:val="0"/>
        <w:spacing w:before="60" w:after="120"/>
        <w:jc w:val="both"/>
        <w:rPr/>
      </w:pPr>
      <w:r>
        <w:rPr/>
      </w:r>
    </w:p>
    <w:p>
      <w:pPr>
        <w:pStyle w:val="TextBody"/>
        <w:bidi w:val="0"/>
        <w:spacing w:lineRule="auto" w:line="288" w:before="180" w:after="120"/>
        <w:jc w:val="both"/>
        <w:rPr>
          <w:rFonts w:ascii="Poppins;sans-serif" w:hAnsi="Poppins;sans-serif"/>
          <w:b w:val="false"/>
          <w:color w:val="000000"/>
          <w:sz w:val="18"/>
        </w:rPr>
      </w:pPr>
      <w:r>
        <w:rPr>
          <w:rFonts w:ascii="Poppins;sans-serif" w:hAnsi="Poppins;sans-serif"/>
          <w:b w:val="false"/>
          <w:color w:val="000000"/>
          <w:sz w:val="18"/>
        </w:rPr>
        <w:t>The following table summarizes net cash from operating activities:</w:t>
      </w:r>
    </w:p>
    <w:tbl>
      <w:tblPr>
        <w:tblW w:w="7331" w:type="dxa"/>
        <w:jc w:val="left"/>
        <w:tblInd w:w="0" w:type="dxa"/>
        <w:tblLayout w:type="fixed"/>
        <w:tblCellMar>
          <w:top w:w="28" w:type="dxa"/>
          <w:left w:w="28" w:type="dxa"/>
          <w:bottom w:w="28" w:type="dxa"/>
          <w:right w:w="28" w:type="dxa"/>
        </w:tblCellMar>
      </w:tblPr>
      <w:tblGrid>
        <w:gridCol w:w="1495"/>
        <w:gridCol w:w="1311"/>
        <w:gridCol w:w="1318"/>
        <w:gridCol w:w="246"/>
        <w:gridCol w:w="1046"/>
        <w:gridCol w:w="118"/>
        <w:gridCol w:w="118"/>
        <w:gridCol w:w="118"/>
        <w:gridCol w:w="118"/>
        <w:gridCol w:w="246"/>
        <w:gridCol w:w="1030"/>
        <w:gridCol w:w="167"/>
      </w:tblGrid>
      <w:tr>
        <w:trPr/>
        <w:tc>
          <w:tcPr>
            <w:tcW w:w="14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(Unaudited, in thousands)</w:t>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Nine Months Ended March 31,</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Net income</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0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391,549</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030"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328,144 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Depreciation</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31,238</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33,125 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Amortization</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127,462</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120,136 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Change in deferred income taxes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100,347</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(12,765)</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Other non-cash expenses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21,512</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22,411 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Change in receivables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37,379</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50,871 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Change in deferred revenue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(154,631)</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(167,104)</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Change in other assets and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(95,570)</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(60,426)</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NET CASH FROM OPERATING ACTIVITIES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459,286</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314,392 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Poppins;sans-serif" w:hAnsi="Poppins;sans-serif"/>
          <w:b w:val="false"/>
          <w:color w:val="000000"/>
          <w:sz w:val="14"/>
        </w:rPr>
      </w:pPr>
      <w:r>
        <w:rPr>
          <w:rFonts w:ascii="Poppins;sans-serif" w:hAnsi="Poppins;sans-serif"/>
          <w:b w:val="false"/>
          <w:color w:val="000000"/>
          <w:sz w:val="14"/>
        </w:rPr>
        <w:t>*For the fiscal nine months ended March 31, 2026, the change in other assets and liabilities includes the change in prepaid expenses, deferred costs and other of $(61,680), accrued expenses of $(19,137), income taxes of $(8,383), and the change in accounts payable of $(6,370). For the fiscal nine months ended March 31, 2025, the change in other assets and liabilities includes the change in prepaid expenses, deferred costs and other of $(42,989), the change in accrued expenses of $(23,436), and the change in accounts payable of $(9,541) partially offset by the change in income taxes of $15,540.</w:t>
      </w:r>
    </w:p>
    <w:p>
      <w:pPr>
        <w:pStyle w:val="TextBody"/>
        <w:bidi w:val="0"/>
        <w:spacing w:before="60" w:after="120"/>
        <w:jc w:val="both"/>
        <w:rPr/>
      </w:pPr>
      <w:r>
        <w:rPr/>
      </w:r>
    </w:p>
    <w:p>
      <w:pPr>
        <w:pStyle w:val="TextBody"/>
        <w:bidi w:val="0"/>
        <w:spacing w:lineRule="auto" w:line="288" w:before="0" w:after="0"/>
        <w:ind w:left="0" w:right="0" w:hanging="630"/>
        <w:jc w:val="right"/>
        <w:rPr/>
      </w:pPr>
      <w:r>
        <w:rPr/>
        <w:drawing>
          <wp:inline distT="0" distB="0" distL="0" distR="0">
            <wp:extent cx="7772400" cy="95250"/>
            <wp:effectExtent l="0" t="0" r="0" b="0"/>
            <wp:docPr id="5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3" descr=""/>
                    <pic:cNvPicPr>
                      <a:picLocks noChangeAspect="1" noChangeArrowheads="1"/>
                    </pic:cNvPicPr>
                  </pic:nvPicPr>
                  <pic:blipFill>
                    <a:blip r:embed="rId42"/>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800735"/>
                <wp:effectExtent l="0" t="0" r="0" b="0"/>
                <wp:wrapNone/>
                <wp:docPr id="54" name="Frame13"/>
                <a:graphic xmlns:a="http://schemas.openxmlformats.org/drawingml/2006/main">
                  <a:graphicData uri="http://schemas.microsoft.com/office/word/2010/wordprocessingShape">
                    <wps:wsp>
                      <wps:cNvSpPr txBox="1"/>
                      <wps:spPr>
                        <a:xfrm>
                          <a:off x="0" y="0"/>
                          <a:ext cx="6480175" cy="800735"/>
                        </a:xfrm>
                        <a:prstGeom prst="rect"/>
                        <a:solidFill>
                          <a:srgbClr val="FFFFFF"/>
                        </a:solidFill>
                      </wps:spPr>
                      <wps:txb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5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2" descr=""/>
                                                <pic:cNvPicPr>
                                                  <a:picLocks noChangeAspect="1" noChangeArrowheads="1"/>
                                                </pic:cNvPicPr>
                                              </pic:nvPicPr>
                                              <pic:blipFill>
                                                <a:blip r:embed="rId43"/>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05pt;mso-wrap-distance-left:0pt;mso-wrap-distance-right:0pt;mso-wrap-distance-top:0pt;mso-wrap-distance-bottom:0pt;margin-top:0pt;mso-position-vertical:top;mso-position-vertical-relative:text;margin-left:0pt;mso-position-horizontal:left;mso-position-horizontal-relative:text">
                <v:textbo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5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2" descr=""/>
                                          <pic:cNvPicPr>
                                            <a:picLocks noChangeAspect="1" noChangeArrowheads="1"/>
                                          </pic:cNvPicPr>
                                        </pic:nvPicPr>
                                        <pic:blipFill>
                                          <a:blip r:embed="rId44"/>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both"/>
        <w:rPr>
          <w:rFonts w:ascii="Poppins;sans-serif" w:hAnsi="Poppins;sans-serif"/>
          <w:b w:val="false"/>
          <w:color w:val="000000"/>
          <w:sz w:val="18"/>
        </w:rPr>
      </w:pPr>
      <w:r>
        <w:rPr>
          <w:rFonts w:ascii="Poppins;sans-serif" w:hAnsi="Poppins;sans-serif"/>
          <w:b w:val="false"/>
          <w:color w:val="000000"/>
          <w:sz w:val="18"/>
        </w:rPr>
        <w:t>The following table summarizes net cash from investing activities:</w:t>
      </w:r>
    </w:p>
    <w:tbl>
      <w:tblPr>
        <w:tblW w:w="7255" w:type="dxa"/>
        <w:jc w:val="left"/>
        <w:tblInd w:w="0" w:type="dxa"/>
        <w:tblLayout w:type="fixed"/>
        <w:tblCellMar>
          <w:top w:w="28" w:type="dxa"/>
          <w:left w:w="28" w:type="dxa"/>
          <w:bottom w:w="28" w:type="dxa"/>
          <w:right w:w="28" w:type="dxa"/>
        </w:tblCellMar>
      </w:tblPr>
      <w:tblGrid>
        <w:gridCol w:w="1466"/>
        <w:gridCol w:w="1289"/>
        <w:gridCol w:w="1295"/>
        <w:gridCol w:w="231"/>
        <w:gridCol w:w="1078"/>
        <w:gridCol w:w="111"/>
        <w:gridCol w:w="111"/>
        <w:gridCol w:w="111"/>
        <w:gridCol w:w="111"/>
        <w:gridCol w:w="231"/>
        <w:gridCol w:w="1063"/>
        <w:gridCol w:w="158"/>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(Unaudited, in thousands)</w:t>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Nine Months Ended March 31,</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Payment for acquisitions</w:t>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07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(42,390)</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06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Capital expenditures</w:t>
            </w:r>
          </w:p>
        </w:tc>
        <w:tc>
          <w:tcPr>
            <w:tcW w:w="1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(46,616)</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(41,186)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Proceeds from sale of assets</w:t>
            </w:r>
          </w:p>
        </w:tc>
        <w:tc>
          <w:tcPr>
            <w:tcW w:w="130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24,572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Purchased software</w:t>
            </w:r>
          </w:p>
        </w:tc>
        <w:tc>
          <w:tcPr>
            <w:tcW w:w="1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(2,998)</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(3,833)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Computer software developed</w:t>
            </w:r>
          </w:p>
        </w:tc>
        <w:tc>
          <w:tcPr>
            <w:tcW w:w="1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(140,003)</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(130,298)</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Purchase of investments</w:t>
            </w:r>
          </w:p>
        </w:tc>
        <w:tc>
          <w:tcPr>
            <w:tcW w:w="13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(13,710)</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(2,000)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Proceeds from investments</w:t>
            </w:r>
          </w:p>
        </w:tc>
        <w:tc>
          <w:tcPr>
            <w:tcW w:w="130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1,000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1,000 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NET CASH FROM INVESTING ACTIVITIES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(220,145)</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(176,317)</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Poppins;sans-serif" w:hAnsi="Poppins;sans-serif"/>
          <w:b w:val="false"/>
          <w:color w:val="000000"/>
          <w:sz w:val="18"/>
        </w:rPr>
      </w:pPr>
      <w:r>
        <w:rPr>
          <w:rFonts w:ascii="Poppins;sans-serif" w:hAnsi="Poppins;sans-serif"/>
          <w:b w:val="false"/>
          <w:color w:val="000000"/>
          <w:sz w:val="18"/>
        </w:rPr>
        <w:t>The following table summarizes net cash from financing activities:</w:t>
      </w:r>
    </w:p>
    <w:tbl>
      <w:tblPr>
        <w:tblW w:w="10205" w:type="dxa"/>
        <w:jc w:val="left"/>
        <w:tblInd w:w="0" w:type="dxa"/>
        <w:tblLayout w:type="fixed"/>
        <w:tblCellMar>
          <w:top w:w="28" w:type="dxa"/>
          <w:left w:w="28" w:type="dxa"/>
          <w:bottom w:w="28" w:type="dxa"/>
          <w:right w:w="28" w:type="dxa"/>
        </w:tblCellMar>
      </w:tblPr>
      <w:tblGrid>
        <w:gridCol w:w="2540"/>
        <w:gridCol w:w="2227"/>
        <w:gridCol w:w="2237"/>
        <w:gridCol w:w="230"/>
        <w:gridCol w:w="1075"/>
        <w:gridCol w:w="110"/>
        <w:gridCol w:w="110"/>
        <w:gridCol w:w="110"/>
        <w:gridCol w:w="110"/>
        <w:gridCol w:w="230"/>
        <w:gridCol w:w="1060"/>
        <w:gridCol w:w="166"/>
      </w:tblGrid>
      <w:tr>
        <w:trPr/>
        <w:tc>
          <w:tcPr>
            <w:tcW w:w="2540"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(Unaudited, in thousands)</w:t>
            </w:r>
          </w:p>
        </w:tc>
        <w:tc>
          <w:tcPr>
            <w:tcW w:w="32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Nine Months Ended March 31,</w:t>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Borrowings on credit facilities</w:t>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07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360,000</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060"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255,000 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Repayments on credit facilities</w:t>
            </w:r>
          </w:p>
        </w:tc>
        <w:tc>
          <w:tcPr>
            <w:tcW w:w="13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(270,000)</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(235,000)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Purchase of treasury stock</w:t>
            </w:r>
          </w:p>
        </w:tc>
        <w:tc>
          <w:tcPr>
            <w:tcW w:w="13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(284,414)</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(35,052)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Dividends paid</w:t>
            </w:r>
          </w:p>
        </w:tc>
        <w:tc>
          <w:tcPr>
            <w:tcW w:w="13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(127,457)</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(122,464)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Net cash from issuance of stock and tax related to stock-based compensation</w:t>
            </w:r>
          </w:p>
        </w:tc>
        <w:tc>
          <w:tcPr>
            <w:tcW w:w="130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1,350</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1,027 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NET CASH FROM FINANCING ACTIVITIES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0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(320,521)</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(136,489)</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00"/>
        <w:jc w:val="both"/>
        <w:rPr>
          <w:rFonts w:ascii="Poppins;sans-serif" w:hAnsi="Poppins;sans-serif"/>
          <w:b/>
          <w:color w:val="06185F"/>
          <w:sz w:val="20"/>
        </w:rPr>
      </w:pPr>
      <w:r>
        <w:rPr>
          <w:rFonts w:ascii="Poppins;sans-serif" w:hAnsi="Poppins;sans-serif"/>
          <w:b/>
          <w:color w:val="06185F"/>
          <w:sz w:val="20"/>
        </w:rPr>
        <w:t>Use of Non-GAAP Financial Information</w:t>
      </w:r>
    </w:p>
    <w:p>
      <w:pPr>
        <w:pStyle w:val="TextBody"/>
        <w:bidi w:val="0"/>
        <w:spacing w:lineRule="auto" w:line="288" w:before="0" w:after="100"/>
        <w:jc w:val="both"/>
        <w:rPr>
          <w:rFonts w:ascii="Poppins;sans-serif" w:hAnsi="Poppins;sans-serif"/>
          <w:b w:val="false"/>
          <w:color w:val="000000"/>
          <w:sz w:val="18"/>
        </w:rPr>
      </w:pPr>
      <w:r>
        <w:rPr>
          <w:rFonts w:ascii="Poppins;sans-serif" w:hAnsi="Poppins;sans-serif"/>
          <w:b w:val="false"/>
          <w:color w:val="000000"/>
          <w:sz w:val="18"/>
        </w:rPr>
        <w:t>Generally Accepted Accounting Principles (GAAP) is the term used to refer to the standard framework of guidelines for financial accounting in the United States. GAAP includes the standards, conventions, and rules accountants follow in recording and summarizing transactions in the preparation of financial statements. In addition to reporting financial results in accordance with GAAP, we have provided certain non-GAAP financial measures, including adjusted revenue, adjusted segment revenue, adjusted operating income, adjusted segment income, adjusted cost of revenue, adjusted segment cost of revenue, adjusted operating expenses, adjusted operating margin, adjusted segment income margin, non-GAAP earnings before interest, taxes, depreciation, and amortization (non-GAAP EBITDA), free cash flow, net operating profit after tax return on invested capital (NOPAT ROIC), and non-GAAP adjusted net income.</w:t>
      </w:r>
    </w:p>
    <w:p>
      <w:pPr>
        <w:pStyle w:val="TextBody"/>
        <w:bidi w:val="0"/>
        <w:spacing w:lineRule="auto" w:line="288" w:before="0" w:after="100"/>
        <w:jc w:val="both"/>
        <w:rPr>
          <w:rFonts w:ascii="Poppins;sans-serif" w:hAnsi="Poppins;sans-serif"/>
          <w:b w:val="false"/>
          <w:color w:val="000000"/>
          <w:sz w:val="18"/>
        </w:rPr>
      </w:pPr>
      <w:r>
        <w:rPr>
          <w:rFonts w:ascii="Poppins;sans-serif" w:hAnsi="Poppins;sans-serif"/>
          <w:b w:val="false"/>
          <w:color w:val="000000"/>
          <w:sz w:val="18"/>
        </w:rPr>
        <w:t>We believe non-GAAP financial measures help investors better understand the underlying fundamentals and true operations of our business. Adjusted revenue, adjusted segment revenue, adjusted operating income, adjusted operating margin, adjusted segment income, adjusted segment income margin, adjusted cost of revenue, adjusted segment cost of revenue, adjusted operating expenses, and adjusted net income eliminate one-time deconversion revenue and associated costs, the gain on assets, net, an acquisition, and a contractual change, which management believes are not indicative of the Company's operating performance. Such adjustments give investors further insight into our performance. Non-GAAP EBITDA is defined as net income attributable to the Company before the effect of interest income, net, taxes, depreciation, and amortization, adjusted for net income before the effect of interest income, net, taxes, depreciation, and amortization attributable to eliminated one-time deconversions, the gain on assets, net, an acquisition, and a contractual change. Free cash flow is defined as net cash from operating activities, less capitalized expenditures, internal use software, and capitalized software, plus proceeds from the sale of assets. NOPAT ROIC is defined as operating income for the trailing four quarters multiplied by one minus the average effective tax rate (ETR) for the trailing four quarters, with the result divided by average invested capital (average of the beginning and ending period balances). Management believes that non-GAAP EBITDA is an important measure of the Company’s overall operating performance and excludes certain costs and other transactions that management deems one time or non-operational in nature; free cash flow is useful to measure the funds generated in a given period that are available for debt service requirements and strategic capital decisions; and NOPAT ROIC is a measure of the Company’s allocation efficiency and effectiveness of its invested capital. For these reasons, management also uses these non-GAAP financial measures in its assessment and management of the Company's performance.</w:t>
      </w:r>
    </w:p>
    <w:p>
      <w:pPr>
        <w:pStyle w:val="TextBody"/>
        <w:bidi w:val="0"/>
        <w:spacing w:lineRule="auto" w:line="288" w:before="0" w:after="0"/>
        <w:ind w:left="0" w:right="0" w:hanging="630"/>
        <w:jc w:val="right"/>
        <w:rPr/>
      </w:pPr>
      <w:r>
        <w:rPr/>
        <w:drawing>
          <wp:inline distT="0" distB="0" distL="0" distR="0">
            <wp:extent cx="7772400" cy="95250"/>
            <wp:effectExtent l="0" t="0" r="0" b="0"/>
            <wp:docPr id="5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5" descr=""/>
                    <pic:cNvPicPr>
                      <a:picLocks noChangeAspect="1" noChangeArrowheads="1"/>
                    </pic:cNvPicPr>
                  </pic:nvPicPr>
                  <pic:blipFill>
                    <a:blip r:embed="rId45"/>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00735"/>
                <wp:effectExtent l="0" t="0" r="0" b="0"/>
                <wp:wrapNone/>
                <wp:docPr id="58" name="Frame14"/>
                <a:graphic xmlns:a="http://schemas.openxmlformats.org/drawingml/2006/main">
                  <a:graphicData uri="http://schemas.microsoft.com/office/word/2010/wordprocessingShape">
                    <wps:wsp>
                      <wps:cNvSpPr txBox="1"/>
                      <wps:spPr>
                        <a:xfrm>
                          <a:off x="0" y="0"/>
                          <a:ext cx="6480175" cy="800735"/>
                        </a:xfrm>
                        <a:prstGeom prst="rect"/>
                        <a:solidFill>
                          <a:srgbClr val="FFFFFF"/>
                        </a:solidFill>
                      </wps:spPr>
                      <wps:txb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5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4" descr=""/>
                                                <pic:cNvPicPr>
                                                  <a:picLocks noChangeAspect="1" noChangeArrowheads="1"/>
                                                </pic:cNvPicPr>
                                              </pic:nvPicPr>
                                              <pic:blipFill>
                                                <a:blip r:embed="rId46"/>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05pt;mso-wrap-distance-left:0pt;mso-wrap-distance-right:0pt;mso-wrap-distance-top:0pt;mso-wrap-distance-bottom:0pt;margin-top:0pt;mso-position-vertical:top;mso-position-vertical-relative:text;margin-left:0pt;mso-position-horizontal:left;mso-position-horizontal-relative:text">
                <v:textbo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6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4" descr=""/>
                                          <pic:cNvPicPr>
                                            <a:picLocks noChangeAspect="1" noChangeArrowheads="1"/>
                                          </pic:cNvPicPr>
                                        </pic:nvPicPr>
                                        <pic:blipFill>
                                          <a:blip r:embed="rId47"/>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00"/>
        <w:jc w:val="both"/>
        <w:rPr>
          <w:rFonts w:ascii="Poppins;sans-serif" w:hAnsi="Poppins;sans-serif"/>
          <w:b w:val="false"/>
          <w:color w:val="000000"/>
          <w:sz w:val="18"/>
        </w:rPr>
      </w:pPr>
      <w:r>
        <w:rPr>
          <w:rFonts w:ascii="Poppins;sans-serif" w:hAnsi="Poppins;sans-serif"/>
          <w:b w:val="false"/>
          <w:color w:val="000000"/>
          <w:sz w:val="18"/>
        </w:rPr>
        <w:t>Non-GAAP financial measures used by the Company may not be comparable to similarly titled non-GAAP measures used by other companies. Non-GAAP financial measures have no standardized meaning prescribed by GAAP and therefore, are unlikely to be comparable with calculations of similar measures for other companies.</w:t>
      </w:r>
    </w:p>
    <w:p>
      <w:pPr>
        <w:pStyle w:val="TextBody"/>
        <w:bidi w:val="0"/>
        <w:spacing w:lineRule="auto" w:line="288" w:before="0" w:after="100"/>
        <w:jc w:val="both"/>
        <w:rPr>
          <w:rFonts w:ascii="Poppins;sans-serif" w:hAnsi="Poppins;sans-serif"/>
          <w:b w:val="false"/>
          <w:color w:val="000000"/>
          <w:sz w:val="18"/>
        </w:rPr>
      </w:pPr>
      <w:r>
        <w:rPr>
          <w:rFonts w:ascii="Poppins;sans-serif" w:hAnsi="Poppins;sans-serif"/>
          <w:b w:val="false"/>
          <w:color w:val="000000"/>
          <w:sz w:val="18"/>
        </w:rPr>
        <w:t>Any non-GAAP financial measures should be considered in context with the GAAP financial presentation and should not be considered in isolation or as a substitute for GAAP measures. Reconciliations of the non-GAAP financial measures to related GAAP measures are included.</w:t>
      </w:r>
    </w:p>
    <w:p>
      <w:pPr>
        <w:pStyle w:val="TextBody"/>
        <w:bidi w:val="0"/>
        <w:spacing w:before="0" w:after="120"/>
        <w:jc w:val="both"/>
        <w:rPr/>
      </w:pPr>
      <w:r>
        <w:rPr/>
      </w:r>
    </w:p>
    <w:tbl>
      <w:tblPr>
        <w:tblW w:w="10205" w:type="dxa"/>
        <w:jc w:val="left"/>
        <w:tblInd w:w="0" w:type="dxa"/>
        <w:tblLayout w:type="fixed"/>
        <w:tblCellMar>
          <w:top w:w="28" w:type="dxa"/>
          <w:left w:w="28" w:type="dxa"/>
          <w:bottom w:w="28" w:type="dxa"/>
          <w:right w:w="28" w:type="dxa"/>
        </w:tblCellMar>
      </w:tblPr>
      <w:tblGrid>
        <w:gridCol w:w="1885"/>
        <w:gridCol w:w="1311"/>
        <w:gridCol w:w="1316"/>
        <w:gridCol w:w="109"/>
        <w:gridCol w:w="109"/>
        <w:gridCol w:w="109"/>
        <w:gridCol w:w="328"/>
        <w:gridCol w:w="328"/>
        <w:gridCol w:w="330"/>
        <w:gridCol w:w="109"/>
        <w:gridCol w:w="109"/>
        <w:gridCol w:w="109"/>
        <w:gridCol w:w="1185"/>
        <w:gridCol w:w="1185"/>
        <w:gridCol w:w="1683"/>
      </w:tblGrid>
      <w:tr>
        <w:trPr/>
        <w:tc>
          <w:tcPr>
            <w:tcW w:w="188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r>
      <w:tr>
        <w:trPr/>
        <w:tc>
          <w:tcPr>
            <w:tcW w:w="451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Poppins;sans-serif" w:hAnsi="Poppins;sans-serif"/>
                <w:b/>
                <w:color w:val="06185F"/>
                <w:sz w:val="20"/>
              </w:rPr>
              <w:t>About Jack Henry &amp; Associates, Inc.</w:t>
            </w:r>
            <w:r>
              <w:rPr>
                <w:rFonts w:ascii="Poppins;sans-serif" w:hAnsi="Poppins;sans-serif"/>
                <w:b/>
                <w:color w:val="06185F"/>
                <w:sz w:val="13"/>
              </w:rPr>
              <w:t>®</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 cy="571500"/>
                  <wp:effectExtent l="0" t="0" r="0" b="0"/>
                  <wp:docPr id="6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6" descr=""/>
                          <pic:cNvPicPr>
                            <a:picLocks noChangeAspect="1" noChangeArrowheads="1"/>
                          </pic:cNvPicPr>
                        </pic:nvPicPr>
                        <pic:blipFill>
                          <a:blip r:embed="rId48"/>
                          <a:stretch>
                            <a:fillRect/>
                          </a:stretch>
                        </pic:blipFill>
                        <pic:spPr bwMode="auto">
                          <a:xfrm>
                            <a:off x="0" y="0"/>
                            <a:ext cx="571500" cy="571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88" w:before="0" w:after="283"/>
              <w:jc w:val="left"/>
              <w:rPr>
                <w:rFonts w:ascii="Poppins;sans-serif" w:hAnsi="Poppins;sans-serif"/>
                <w:b/>
                <w:color w:val="06185F"/>
                <w:sz w:val="20"/>
              </w:rPr>
            </w:pPr>
            <w:r>
              <w:rPr>
                <w:rFonts w:ascii="Poppins;sans-serif" w:hAnsi="Poppins;sans-serif"/>
                <w:b/>
                <w:color w:val="06185F"/>
                <w:sz w:val="20"/>
              </w:rPr>
              <w:t>Quarterly Conference Call</w:t>
            </w:r>
          </w:p>
        </w:tc>
      </w:tr>
      <w:tr>
        <w:trPr/>
        <w:tc>
          <w:tcPr>
            <w:tcW w:w="4512" w:type="dxa"/>
            <w:gridSpan w:val="3"/>
            <w:vMerge w:val="restart"/>
            <w:tcBorders/>
            <w:tcMar>
              <w:top w:w="0" w:type="dxa"/>
              <w:left w:w="0" w:type="dxa"/>
              <w:bottom w:w="0" w:type="dxa"/>
              <w:right w:w="0" w:type="dxa"/>
            </w:tcMar>
            <w:vAlign w:val="center"/>
          </w:tcPr>
          <w:p>
            <w:pPr>
              <w:pStyle w:val="TableContents"/>
              <w:bidi w:val="0"/>
              <w:spacing w:lineRule="auto" w:line="288" w:before="0" w:after="0"/>
              <w:jc w:val="both"/>
              <w:rPr/>
            </w:pPr>
            <w:r>
              <w:rPr>
                <w:rFonts w:ascii="Poppins;sans-serif" w:hAnsi="Poppins;sans-serif"/>
                <w:b w:val="false"/>
                <w:color w:val="000000"/>
                <w:sz w:val="18"/>
              </w:rPr>
              <w:t>Jack Henry</w:t>
            </w:r>
            <w:r>
              <w:rPr>
                <w:rFonts w:ascii="Poppins;sans-serif" w:hAnsi="Poppins;sans-serif"/>
                <w:b w:val="false"/>
                <w:color w:val="000000"/>
                <w:sz w:val="12"/>
              </w:rPr>
              <w:t>®</w:t>
            </w:r>
            <w:r>
              <w:rPr>
                <w:color w:val="000000"/>
              </w:rPr>
              <w:t xml:space="preserve"> </w:t>
            </w:r>
            <w:r>
              <w:rPr>
                <w:rFonts w:ascii="Poppins;sans-serif" w:hAnsi="Poppins;sans-serif"/>
                <w:b w:val="false"/>
                <w:color w:val="000000"/>
                <w:sz w:val="18"/>
              </w:rPr>
              <w:t xml:space="preserve">(Nasdaq: JKHY) is a well-rounded financial technology company that strengthens connections between financial institutions and the people and businesses they serve. We are an S&amp;P 500 company that prioritizes openness, collaboration, and user centricity — offering banks and credit unions a vibrant ecosystem of internally developed modern capabilities as well as the ability to integrate with leading fintechs. For </w:t>
            </w:r>
            <w:r>
              <w:rPr>
                <w:rFonts w:ascii="Arial;sans-serif" w:hAnsi="Arial;sans-serif"/>
                <w:b w:val="false"/>
                <w:color w:val="000000"/>
                <w:sz w:val="18"/>
              </w:rPr>
              <w:t>50</w:t>
            </w:r>
            <w:r>
              <w:rPr>
                <w:color w:val="000000"/>
              </w:rPr>
              <w:t xml:space="preserve"> </w:t>
            </w:r>
            <w:r>
              <w:rPr>
                <w:rFonts w:ascii="Poppins;sans-serif" w:hAnsi="Poppins;sans-serif"/>
                <w:b w:val="false"/>
                <w:color w:val="000000"/>
                <w:sz w:val="18"/>
              </w:rPr>
              <w:t xml:space="preserve">years, Jack Henry has provided technology solutions to enable clients to innovate faster, strategically differentiate, and successfully compete while serving the evolving needs of their accountholders. We empower approximately 7,400 clients with people-inspired innovation, personal service, and insight-driven solutions that help reduce the barriers to financial health. Additional information is available at </w:t>
            </w:r>
            <w:r>
              <w:rPr>
                <w:rFonts w:ascii="Poppins;sans-serif" w:hAnsi="Poppins;sans-serif"/>
                <w:b w:val="false"/>
                <w:color w:val="0645AD"/>
                <w:sz w:val="18"/>
                <w:u w:val="single"/>
              </w:rPr>
              <w:t>www.jackhenry.com</w:t>
            </w:r>
            <w:r>
              <w:rPr>
                <w:rFonts w:ascii="Poppins;sans-serif" w:hAnsi="Poppins;sans-serif"/>
                <w:b w:val="false"/>
                <w:color w:val="000000"/>
                <w:sz w:val="18"/>
              </w:rPr>
              <w:t>.</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right w:val="single" w:sz="8" w:space="0" w:color="76DCF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053" w:type="dxa"/>
            <w:gridSpan w:val="3"/>
            <w:vMerge w:val="restart"/>
            <w:tcBorders>
              <w:right w:val="single" w:sz="8" w:space="0" w:color="FFFFFF"/>
            </w:tcBorders>
            <w:tcMar>
              <w:top w:w="0" w:type="dxa"/>
              <w:left w:w="0" w:type="dxa"/>
              <w:bottom w:w="0" w:type="dxa"/>
            </w:tcMar>
            <w:vAlign w:val="center"/>
          </w:tcPr>
          <w:p>
            <w:pPr>
              <w:pStyle w:val="TableContents"/>
              <w:bidi w:val="0"/>
              <w:spacing w:lineRule="auto" w:line="288" w:before="0" w:after="0"/>
              <w:jc w:val="both"/>
              <w:rPr/>
            </w:pPr>
            <w:r>
              <w:rPr>
                <w:rFonts w:ascii="Poppins;sans-serif" w:hAnsi="Poppins;sans-serif"/>
                <w:b w:val="false"/>
                <w:color w:val="000000"/>
                <w:sz w:val="18"/>
              </w:rPr>
              <w:t xml:space="preserve">The Company will hold a conference call on May 6, 2026, at 7:45 a.m. Central Time, and investors are invited to listen at </w:t>
            </w:r>
            <w:r>
              <w:rPr>
                <w:rFonts w:ascii="Poppins;sans-serif" w:hAnsi="Poppins;sans-serif"/>
                <w:b w:val="false"/>
                <w:color w:val="0645AD"/>
                <w:sz w:val="18"/>
                <w:u w:val="single"/>
              </w:rPr>
              <w:t>www.jackhenry.com</w:t>
            </w:r>
            <w:r>
              <w:rPr>
                <w:rFonts w:ascii="Poppins;sans-serif" w:hAnsi="Poppins;sans-serif"/>
                <w:b w:val="false"/>
                <w:color w:val="000000"/>
                <w:sz w:val="18"/>
              </w:rPr>
              <w:t xml:space="preserve">. A webcast replay will be available approximately one hour after the event at </w:t>
            </w:r>
            <w:r>
              <w:rPr>
                <w:rFonts w:ascii="Poppins;sans-serif" w:hAnsi="Poppins;sans-serif"/>
                <w:b w:val="false"/>
                <w:color w:val="0645AD"/>
                <w:sz w:val="18"/>
                <w:u w:val="single"/>
              </w:rPr>
              <w:t>ir.jackhenry.com/corporate-events-and-presentations</w:t>
            </w:r>
            <w:r>
              <w:rPr>
                <w:color w:val="000000"/>
              </w:rPr>
              <w:t xml:space="preserve"> </w:t>
            </w:r>
            <w:r>
              <w:rPr>
                <w:rFonts w:ascii="Poppins;sans-serif" w:hAnsi="Poppins;sans-serif"/>
                <w:b w:val="false"/>
                <w:color w:val="000000"/>
                <w:sz w:val="18"/>
              </w:rPr>
              <w:t>and will remain available for one year.</w:t>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right w:val="single" w:sz="8" w:space="0" w:color="76DCF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053" w:type="dxa"/>
            <w:gridSpan w:val="3"/>
            <w:vMerge w:val="continue"/>
            <w:tcBorders>
              <w:right w:val="single" w:sz="8" w:space="0" w:color="FFFFFF"/>
            </w:tcBorders>
            <w:tcMar>
              <w:top w:w="0" w:type="dxa"/>
              <w:left w:w="0" w:type="dxa"/>
              <w:bottom w:w="0" w:type="dxa"/>
            </w:tcMar>
            <w:vAlign w:val="center"/>
          </w:tcPr>
          <w:p>
            <w:pPr>
              <w:pStyle w:val="Normal"/>
              <w:bidi w:val="0"/>
              <w:jc w:val="left"/>
              <w:rPr/>
            </w:pPr>
            <w:r>
              <w:rPr/>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right w:val="single" w:sz="8" w:space="0" w:color="76DCF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053" w:type="dxa"/>
            <w:gridSpan w:val="3"/>
            <w:vMerge w:val="continue"/>
            <w:tcBorders>
              <w:right w:val="single" w:sz="8" w:space="0" w:color="FFFFFF"/>
            </w:tcBorders>
            <w:tcMar>
              <w:top w:w="0" w:type="dxa"/>
              <w:left w:w="0" w:type="dxa"/>
              <w:bottom w:w="0" w:type="dxa"/>
            </w:tcMar>
            <w:vAlign w:val="center"/>
          </w:tcPr>
          <w:p>
            <w:pPr>
              <w:pStyle w:val="Normal"/>
              <w:bidi w:val="0"/>
              <w:jc w:val="left"/>
              <w:rPr/>
            </w:pPr>
            <w:r>
              <w:rPr/>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right w:val="single" w:sz="8" w:space="0" w:color="76DCF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053" w:type="dxa"/>
            <w:gridSpan w:val="3"/>
            <w:vMerge w:val="continue"/>
            <w:tcBorders>
              <w:right w:val="single" w:sz="8" w:space="0" w:color="FFFFFF"/>
            </w:tcBorders>
            <w:tcMar>
              <w:top w:w="0" w:type="dxa"/>
              <w:left w:w="0" w:type="dxa"/>
              <w:bottom w:w="0" w:type="dxa"/>
            </w:tcMar>
            <w:vAlign w:val="center"/>
          </w:tcPr>
          <w:p>
            <w:pPr>
              <w:pStyle w:val="Normal"/>
              <w:bidi w:val="0"/>
              <w:jc w:val="left"/>
              <w:rPr/>
            </w:pPr>
            <w:r>
              <w:rPr/>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vMerge w:val="restart"/>
            <w:tcBorders>
              <w:left w:val="single" w:sz="8" w:space="0" w:color="76DCFD"/>
              <w:right w:val="single" w:sz="8" w:space="0" w:color="FFFFFF"/>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76DCF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053" w:type="dxa"/>
            <w:gridSpan w:val="3"/>
            <w:vMerge w:val="continue"/>
            <w:tcBorders>
              <w:left w:val="single" w:sz="8" w:space="0" w:color="76DCFD"/>
              <w:right w:val="single" w:sz="8" w:space="0" w:color="FFFFFF"/>
            </w:tcBorders>
            <w:tcMar>
              <w:top w:w="0" w:type="dxa"/>
              <w:bottom w:w="0" w:type="dxa"/>
            </w:tcMar>
            <w:vAlign w:val="center"/>
          </w:tcPr>
          <w:p>
            <w:pPr>
              <w:pStyle w:val="Normal"/>
              <w:bidi w:val="0"/>
              <w:jc w:val="left"/>
              <w:rPr/>
            </w:pPr>
            <w:r>
              <w:rPr/>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76DCF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053" w:type="dxa"/>
            <w:gridSpan w:val="3"/>
            <w:vMerge w:val="continue"/>
            <w:tcBorders>
              <w:left w:val="single" w:sz="8" w:space="0" w:color="76DCFD"/>
              <w:right w:val="single" w:sz="8" w:space="0" w:color="FFFFFF"/>
            </w:tcBorders>
            <w:tcMar>
              <w:top w:w="0" w:type="dxa"/>
              <w:bottom w:w="0" w:type="dxa"/>
            </w:tcMar>
            <w:vAlign w:val="center"/>
          </w:tcPr>
          <w:p>
            <w:pPr>
              <w:pStyle w:val="Normal"/>
              <w:bidi w:val="0"/>
              <w:jc w:val="left"/>
              <w:rPr/>
            </w:pPr>
            <w:r>
              <w:rPr/>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76DCFD"/>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053" w:type="dxa"/>
            <w:gridSpan w:val="3"/>
            <w:vMerge w:val="continue"/>
            <w:tcBorders>
              <w:left w:val="single" w:sz="8" w:space="0" w:color="76DCFD"/>
              <w:right w:val="single" w:sz="8" w:space="0" w:color="FFFFFF"/>
            </w:tcBorders>
            <w:tcMar>
              <w:top w:w="0" w:type="dxa"/>
              <w:bottom w:w="0" w:type="dxa"/>
            </w:tcMar>
            <w:vAlign w:val="center"/>
          </w:tcPr>
          <w:p>
            <w:pPr>
              <w:pStyle w:val="Normal"/>
              <w:bidi w:val="0"/>
              <w:jc w:val="left"/>
              <w:rPr/>
            </w:pPr>
            <w:r>
              <w:rPr/>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vMerge w:val="restart"/>
            <w:tcBorders/>
            <w:tcMar>
              <w:top w:w="0" w:type="dxa"/>
              <w:left w:w="0" w:type="dxa"/>
              <w:bottom w:w="0" w:type="dxa"/>
              <w:right w:w="0" w:type="dxa"/>
            </w:tcMar>
            <w:vAlign w:val="center"/>
          </w:tcPr>
          <w:p>
            <w:pPr>
              <w:pStyle w:val="TableContents"/>
              <w:bidi w:val="0"/>
              <w:spacing w:lineRule="auto" w:line="288" w:before="0" w:after="0"/>
              <w:jc w:val="both"/>
              <w:rPr>
                <w:rFonts w:ascii="Poppins;sans-serif" w:hAnsi="Poppins;sans-serif"/>
                <w:b w:val="false"/>
                <w:i/>
                <w:color w:val="000000"/>
                <w:sz w:val="18"/>
              </w:rPr>
            </w:pPr>
            <w:r>
              <w:rPr>
                <w:rFonts w:ascii="Poppins;sans-serif" w:hAnsi="Poppins;sans-serif"/>
                <w:b w:val="false"/>
                <w:i/>
                <w:color w:val="000000"/>
                <w:sz w:val="18"/>
              </w:rPr>
              <w:t>Statements made in this news release that are not historical facts are "forward-looking statements" within the meaning of the Private Securities Litigation Reform Act of 1995, Section 27A of the Securities Act of 1933 and Section 21E of the Securities Exchange Act of 1934.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the Company's Securities and Exchange Commission filings, including the Company's most recent reports on Form 10-K and Form 10-Q, particularly under the heading Risk Factors. Any forward-looking statement made in this news release speaks only as of the date of the news release, and the Company expressly disclaims any obligation to publicly update or revise any forward-looking statement, whether because of new information, future events or otherwise.</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 cy="571500"/>
                  <wp:effectExtent l="0" t="0" r="0" b="0"/>
                  <wp:docPr id="6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7" descr=""/>
                          <pic:cNvPicPr>
                            <a:picLocks noChangeAspect="1" noChangeArrowheads="1"/>
                          </pic:cNvPicPr>
                        </pic:nvPicPr>
                        <pic:blipFill>
                          <a:blip r:embed="rId49"/>
                          <a:stretch>
                            <a:fillRect/>
                          </a:stretch>
                        </pic:blipFill>
                        <pic:spPr bwMode="auto">
                          <a:xfrm>
                            <a:off x="0" y="0"/>
                            <a:ext cx="571500" cy="571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40" w:before="0" w:after="283"/>
              <w:jc w:val="left"/>
              <w:rPr>
                <w:rFonts w:ascii="Poppins;sans-serif" w:hAnsi="Poppins;sans-serif"/>
                <w:b/>
                <w:color w:val="085CE5"/>
                <w:sz w:val="18"/>
              </w:rPr>
            </w:pPr>
            <w:r>
              <w:rPr>
                <w:rFonts w:ascii="Poppins;sans-serif" w:hAnsi="Poppins;sans-serif"/>
                <w:b/>
                <w:color w:val="085CE5"/>
                <w:sz w:val="18"/>
              </w:rPr>
              <w:t>MEDIA CONTACT</w:t>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left w:val="single" w:sz="8" w:space="0" w:color="76DCFD"/>
              <w:right w:val="single" w:sz="8" w:space="0" w:color="FFFFFF"/>
            </w:tcBorders>
            <w:tcMar>
              <w:top w:w="0" w:type="dxa"/>
              <w:bottom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Jeremy Elwood</w:t>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Corporate Communications</w:t>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Jack Henry &amp; Associates, Inc.</w:t>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left w:val="single" w:sz="8" w:space="0" w:color="76DCFD"/>
              <w:right w:val="single" w:sz="8" w:space="0" w:color="FFFFFF"/>
            </w:tcBorders>
            <w:tcMar>
              <w:top w:w="0" w:type="dxa"/>
              <w:bottom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417-235-6652</w:t>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left w:val="single" w:sz="8" w:space="0" w:color="76DCFD"/>
              <w:right w:val="single" w:sz="8" w:space="0" w:color="FFFFFF"/>
            </w:tcBorders>
            <w:tcMar>
              <w:top w:w="0" w:type="dxa"/>
              <w:bottom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JDElwood@jackhenry.com</w:t>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40" w:before="0" w:after="283"/>
              <w:jc w:val="left"/>
              <w:rPr>
                <w:rFonts w:ascii="Poppins;sans-serif" w:hAnsi="Poppins;sans-serif"/>
                <w:b/>
                <w:color w:val="085CE5"/>
                <w:sz w:val="18"/>
              </w:rPr>
            </w:pPr>
            <w:r>
              <w:rPr>
                <w:rFonts w:ascii="Poppins;sans-serif" w:hAnsi="Poppins;sans-serif"/>
                <w:b/>
                <w:color w:val="085CE5"/>
                <w:sz w:val="18"/>
              </w:rPr>
              <w:t>ANALYST CONTACT</w:t>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Vance Sherard, CFA</w:t>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Investor Relations</w:t>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Jack Henry &amp; Associates, Inc.</w:t>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417-235-6652</w:t>
            </w:r>
          </w:p>
        </w:tc>
      </w:tr>
      <w:tr>
        <w:trPr/>
        <w:tc>
          <w:tcPr>
            <w:tcW w:w="4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left w:val="single" w:sz="8" w:space="0" w:color="76DCFD"/>
              <w:right w:val="single" w:sz="8" w:space="0" w:color="FFFFFF"/>
            </w:tcBorders>
            <w:tcMar>
              <w:top w:w="0" w:type="dxa"/>
              <w:left w:w="200" w:type="dxa"/>
              <w:bottom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VSherard@jackhenry.com</w:t>
            </w:r>
          </w:p>
        </w:tc>
      </w:tr>
    </w:tbl>
    <w:p>
      <w:pPr>
        <w:pStyle w:val="TextBody"/>
        <w:bidi w:val="0"/>
        <w:spacing w:lineRule="auto" w:line="288" w:before="0" w:after="0"/>
        <w:ind w:left="0" w:right="0" w:hanging="630"/>
        <w:jc w:val="right"/>
        <w:rPr/>
      </w:pPr>
      <w:r>
        <w:rPr/>
        <w:drawing>
          <wp:inline distT="0" distB="0" distL="0" distR="0">
            <wp:extent cx="7772400" cy="95250"/>
            <wp:effectExtent l="0" t="0" r="0" b="0"/>
            <wp:docPr id="6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9" descr=""/>
                    <pic:cNvPicPr>
                      <a:picLocks noChangeAspect="1" noChangeArrowheads="1"/>
                    </pic:cNvPicPr>
                  </pic:nvPicPr>
                  <pic:blipFill>
                    <a:blip r:embed="rId50"/>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00735"/>
                <wp:effectExtent l="0" t="0" r="0" b="0"/>
                <wp:wrapNone/>
                <wp:docPr id="64" name="Frame15"/>
                <a:graphic xmlns:a="http://schemas.openxmlformats.org/drawingml/2006/main">
                  <a:graphicData uri="http://schemas.microsoft.com/office/word/2010/wordprocessingShape">
                    <wps:wsp>
                      <wps:cNvSpPr txBox="1"/>
                      <wps:spPr>
                        <a:xfrm>
                          <a:off x="0" y="0"/>
                          <a:ext cx="6480175" cy="800735"/>
                        </a:xfrm>
                        <a:prstGeom prst="rect"/>
                        <a:solidFill>
                          <a:srgbClr val="FFFFFF"/>
                        </a:solidFill>
                      </wps:spPr>
                      <wps:txb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6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8" descr=""/>
                                                <pic:cNvPicPr>
                                                  <a:picLocks noChangeAspect="1" noChangeArrowheads="1"/>
                                                </pic:cNvPicPr>
                                              </pic:nvPicPr>
                                              <pic:blipFill>
                                                <a:blip r:embed="rId51"/>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05pt;mso-wrap-distance-left:0pt;mso-wrap-distance-right:0pt;mso-wrap-distance-top:0pt;mso-wrap-distance-bottom:0pt;margin-top:0pt;mso-position-vertical:top;mso-position-vertical-relative:text;margin-left:0pt;mso-position-horizontal:left;mso-position-horizontal-relative:text">
                <v:textbo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6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8" descr=""/>
                                          <pic:cNvPicPr>
                                            <a:picLocks noChangeAspect="1" noChangeArrowheads="1"/>
                                          </pic:cNvPicPr>
                                        </pic:nvPicPr>
                                        <pic:blipFill>
                                          <a:blip r:embed="rId52"/>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959" w:type="dxa"/>
        <w:jc w:val="left"/>
        <w:tblInd w:w="0" w:type="dxa"/>
        <w:tblLayout w:type="fixed"/>
        <w:tblCellMar>
          <w:top w:w="28" w:type="dxa"/>
          <w:left w:w="28" w:type="dxa"/>
          <w:bottom w:w="28" w:type="dxa"/>
          <w:right w:w="28" w:type="dxa"/>
        </w:tblCellMar>
      </w:tblPr>
      <w:tblGrid>
        <w:gridCol w:w="708"/>
        <w:gridCol w:w="358"/>
        <w:gridCol w:w="360"/>
        <w:gridCol w:w="226"/>
        <w:gridCol w:w="961"/>
        <w:gridCol w:w="109"/>
        <w:gridCol w:w="109"/>
        <w:gridCol w:w="109"/>
        <w:gridCol w:w="109"/>
        <w:gridCol w:w="226"/>
        <w:gridCol w:w="946"/>
        <w:gridCol w:w="109"/>
        <w:gridCol w:w="109"/>
        <w:gridCol w:w="109"/>
        <w:gridCol w:w="109"/>
        <w:gridCol w:w="306"/>
        <w:gridCol w:w="310"/>
        <w:gridCol w:w="538"/>
        <w:gridCol w:w="109"/>
        <w:gridCol w:w="109"/>
        <w:gridCol w:w="109"/>
        <w:gridCol w:w="226"/>
        <w:gridCol w:w="1156"/>
        <w:gridCol w:w="109"/>
        <w:gridCol w:w="109"/>
        <w:gridCol w:w="109"/>
        <w:gridCol w:w="109"/>
        <w:gridCol w:w="226"/>
        <w:gridCol w:w="1126"/>
        <w:gridCol w:w="109"/>
        <w:gridCol w:w="109"/>
        <w:gridCol w:w="109"/>
        <w:gridCol w:w="109"/>
        <w:gridCol w:w="306"/>
        <w:gridCol w:w="310"/>
        <w:gridCol w:w="599"/>
      </w:tblGrid>
      <w:tr>
        <w:trPr/>
        <w:tc>
          <w:tcPr>
            <w:tcW w:w="7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0959"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Condensed Consolidated Statements of Income (Unaudited)</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(Dollars in thousands, except per share data)</w:t>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636,245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585,087 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8.7</w:t>
            </w: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1,900,316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1,759,916 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8.0</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Cost of Revenue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363,922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340,586 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6.9</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1,063,476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1,016,868 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4.6</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Research and Development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45,110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39,411 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14.5</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126,615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120,192 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5.3</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Selling, General, and Administrative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72,166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66,350 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8.8</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211,965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209,839 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481,198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446,347 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7.8</w:t>
            </w: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1,402,056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1,346,899 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4.1</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OPERATING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155,047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138,740 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11.8</w:t>
            </w: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498,260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413,017 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20.6</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Interest income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4,869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(17.5)</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18,194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21,406 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(15.0)</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Interest expense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(1,375)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(2,731)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(49.7)</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(3,402)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(8,336)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(59.2)</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Interest Income, net</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3,494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3,168 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10.3</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14,792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13,070 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13.2</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INCOME BEFORE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158,541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141,908 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11.7</w:t>
            </w: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513,052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426,087 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20.4</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Provision for Income Taxes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35,647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30,800 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15.7</w:t>
            </w:r>
            <w:r>
              <w:rPr>
                <w:color w:val="000000"/>
              </w:rPr>
              <w:t> </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121,503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97,943 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24.1</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122,894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111,108 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10.6</w:t>
            </w: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391,549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328,144 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19.3</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Diluted net income per share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Diluted weighted average shares outstanding</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71,978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73,013 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72,433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73,058 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9"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Consolidated Balance Sheet Highlights (Unaudited)</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(In thousands)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Cash and cash equivalents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20,573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39,870 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(48.4)</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Receivables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282,463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282,162 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0.1</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Total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3,050,557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2,932,018 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4.0</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Accounts payable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11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212,133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112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201,389 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5.3</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Current and long-term debt</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90,000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170,000 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(47.1)</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Deferred revenue</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208,742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221,828 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(5.9)</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Stockholders' equity</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2,134,811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2,036,431 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4.8</w:t>
            </w:r>
            <w:r>
              <w:rPr>
                <w:color w:val="000000"/>
              </w:rPr>
              <w:t> </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630"/>
        <w:jc w:val="right"/>
        <w:rPr/>
      </w:pPr>
      <w:r>
        <w:rPr/>
        <w:drawing>
          <wp:inline distT="0" distB="0" distL="0" distR="0">
            <wp:extent cx="7772400" cy="95250"/>
            <wp:effectExtent l="0" t="0" r="0" b="0"/>
            <wp:docPr id="6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1" descr=""/>
                    <pic:cNvPicPr>
                      <a:picLocks noChangeAspect="1" noChangeArrowheads="1"/>
                    </pic:cNvPicPr>
                  </pic:nvPicPr>
                  <pic:blipFill>
                    <a:blip r:embed="rId53"/>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00735"/>
                <wp:effectExtent l="0" t="0" r="0" b="0"/>
                <wp:wrapNone/>
                <wp:docPr id="68" name="Frame16"/>
                <a:graphic xmlns:a="http://schemas.openxmlformats.org/drawingml/2006/main">
                  <a:graphicData uri="http://schemas.microsoft.com/office/word/2010/wordprocessingShape">
                    <wps:wsp>
                      <wps:cNvSpPr txBox="1"/>
                      <wps:spPr>
                        <a:xfrm>
                          <a:off x="0" y="0"/>
                          <a:ext cx="6480175" cy="800735"/>
                        </a:xfrm>
                        <a:prstGeom prst="rect"/>
                        <a:solidFill>
                          <a:srgbClr val="FFFFFF"/>
                        </a:solidFill>
                      </wps:spPr>
                      <wps:txb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6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0" descr=""/>
                                                <pic:cNvPicPr>
                                                  <a:picLocks noChangeAspect="1" noChangeArrowheads="1"/>
                                                </pic:cNvPicPr>
                                              </pic:nvPicPr>
                                              <pic:blipFill>
                                                <a:blip r:embed="rId54"/>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05pt;mso-wrap-distance-left:0pt;mso-wrap-distance-right:0pt;mso-wrap-distance-top:0pt;mso-wrap-distance-bottom:0pt;margin-top:0pt;mso-position-vertical:top;mso-position-vertical-relative:text;margin-left:0pt;mso-position-horizontal:left;mso-position-horizontal-relative:text">
                <v:textbo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7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0" descr=""/>
                                          <pic:cNvPicPr>
                                            <a:picLocks noChangeAspect="1" noChangeArrowheads="1"/>
                                          </pic:cNvPicPr>
                                        </pic:nvPicPr>
                                        <pic:blipFill>
                                          <a:blip r:embed="rId55"/>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314" w:type="dxa"/>
        <w:jc w:val="left"/>
        <w:tblInd w:w="0" w:type="dxa"/>
        <w:tblLayout w:type="fixed"/>
        <w:tblCellMar>
          <w:top w:w="28" w:type="dxa"/>
          <w:left w:w="28" w:type="dxa"/>
          <w:bottom w:w="28" w:type="dxa"/>
          <w:right w:w="28" w:type="dxa"/>
        </w:tblCellMar>
      </w:tblPr>
      <w:tblGrid>
        <w:gridCol w:w="674"/>
        <w:gridCol w:w="315"/>
        <w:gridCol w:w="317"/>
        <w:gridCol w:w="226"/>
        <w:gridCol w:w="961"/>
        <w:gridCol w:w="109"/>
        <w:gridCol w:w="109"/>
        <w:gridCol w:w="109"/>
        <w:gridCol w:w="109"/>
        <w:gridCol w:w="226"/>
        <w:gridCol w:w="946"/>
        <w:gridCol w:w="109"/>
        <w:gridCol w:w="109"/>
        <w:gridCol w:w="109"/>
        <w:gridCol w:w="109"/>
        <w:gridCol w:w="240"/>
        <w:gridCol w:w="241"/>
        <w:gridCol w:w="538"/>
        <w:gridCol w:w="109"/>
        <w:gridCol w:w="109"/>
        <w:gridCol w:w="109"/>
        <w:gridCol w:w="226"/>
        <w:gridCol w:w="961"/>
        <w:gridCol w:w="109"/>
        <w:gridCol w:w="109"/>
        <w:gridCol w:w="109"/>
        <w:gridCol w:w="109"/>
        <w:gridCol w:w="226"/>
        <w:gridCol w:w="946"/>
        <w:gridCol w:w="109"/>
        <w:gridCol w:w="109"/>
        <w:gridCol w:w="109"/>
        <w:gridCol w:w="109"/>
        <w:gridCol w:w="300"/>
        <w:gridCol w:w="301"/>
        <w:gridCol w:w="599"/>
      </w:tblGrid>
      <w:tr>
        <w:trPr/>
        <w:tc>
          <w:tcPr>
            <w:tcW w:w="67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0314" w:type="dxa"/>
            <w:gridSpan w:val="36"/>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Calculation of Non-GAAP Earnings Before Interest Income, Net, Income Taxes, Depreciation and Amortization (Non-GAAP EBITDA)</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6"/>
              </w:rPr>
            </w:pPr>
            <w:r>
              <w:rPr>
                <w:rFonts w:ascii="Poppins;sans-serif" w:hAnsi="Poppins;sans-serif"/>
                <w:b w:val="false"/>
                <w:color w:val="000000"/>
                <w:sz w:val="16"/>
              </w:rPr>
              <w:t>% Change</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6"/>
              </w:rPr>
            </w:pPr>
            <w:r>
              <w:rPr>
                <w:rFonts w:ascii="Poppins;sans-serif" w:hAnsi="Poppins;sans-serif"/>
                <w:b w:val="false"/>
                <w:color w:val="000000"/>
                <w:sz w:val="16"/>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Net income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122,894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111,108 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391,549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328,144 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Net interest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(3,494)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(3,168)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(14,792)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(13,070)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Taxes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35,647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30,800 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121,503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97,943 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Depreciation and amortization</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53,653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51,013 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158,700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153,261 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Less: Net income before interest expense, taxes, depreciation and amortization attributable to eliminated one-time adjustments*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(14,275)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(7,060)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(31,290)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(11,901)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NON-GAAP EBITDA</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194,425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182,693 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6.4</w:t>
            </w:r>
            <w:r>
              <w:rPr>
                <w:color w:val="000000"/>
              </w:rPr>
              <w:t>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625,670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554,377 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12.9</w:t>
            </w:r>
            <w:r>
              <w:rPr>
                <w:color w:val="000000"/>
              </w:rPr>
              <w:t>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w:t>
            </w:r>
          </w:p>
        </w:tc>
      </w:tr>
      <w:tr>
        <w:trPr/>
        <w:tc>
          <w:tcPr>
            <w:tcW w:w="10314" w:type="dxa"/>
            <w:gridSpan w:val="36"/>
            <w:tcBorders/>
            <w:tcMar>
              <w:top w:w="0" w:type="dxa"/>
              <w:left w:w="0" w:type="dxa"/>
              <w:bottom w:w="0" w:type="dxa"/>
              <w:right w:w="0" w:type="dxa"/>
            </w:tcMar>
            <w:vAlign w:val="center"/>
          </w:tcPr>
          <w:p>
            <w:pPr>
              <w:pStyle w:val="TableContents"/>
              <w:bidi w:val="0"/>
              <w:spacing w:lineRule="auto" w:line="288" w:before="0" w:after="0"/>
              <w:jc w:val="both"/>
              <w:rPr>
                <w:rFonts w:ascii="Poppins;sans-serif" w:hAnsi="Poppins;sans-serif"/>
                <w:b w:val="false"/>
                <w:color w:val="000000"/>
                <w:sz w:val="16"/>
              </w:rPr>
            </w:pPr>
            <w:r>
              <w:rPr>
                <w:rFonts w:ascii="Poppins;sans-serif" w:hAnsi="Poppins;sans-serif"/>
                <w:b w:val="false"/>
                <w:color w:val="000000"/>
                <w:sz w:val="16"/>
              </w:rPr>
              <w:t>*The fiscal third quarter 2026 and 2025 adjustments for net income before interest expense, taxes, depreciation and amortization were for deconversions of ($14,636) and an acquisition of $361, and were for deconversions of $6,851 and a contract change of $209, respectively. The fiscal year-to-date 2026 and 2025 adjustments were for deconversions of ($25,337), a gain on assets, net, of ($6,829), and an acquisition of $876, and were for deconversions of ($9,723) and a contractual change of ($2,178), respectively.</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Calculation of Free Cash Flow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Nine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6"/>
              </w:rPr>
            </w:pPr>
            <w:r>
              <w:rPr>
                <w:rFonts w:ascii="Poppins;sans-serif" w:hAnsi="Poppins;sans-serif"/>
                <w:b w:val="false"/>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Net cash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459,286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314,392 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Capitalized expenditures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(46,616)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(41,186)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Internal use software</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(2,998)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(3,833)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Proceeds from sale of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24,572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Capitalized software</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color w:val="000000"/>
                <w:sz w:val="18"/>
              </w:rPr>
            </w:pPr>
            <w:r>
              <w:rPr>
                <w:rFonts w:ascii="Poppins;sans-serif" w:hAnsi="Poppins;sans-serif"/>
                <w:b/>
                <w:color w:val="000000"/>
                <w:sz w:val="18"/>
              </w:rPr>
              <w:t>(140,003)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(130,298)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FREE CASH FLOW</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294,241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139,075 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Net income</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391,549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328,144 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Operating cash conversion*</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117.3%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Free cash flow conversion (excluding proceeds from sale of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68.9%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4" w:type="dxa"/>
            <w:gridSpan w:val="36"/>
            <w:tcBorders/>
            <w:tcMar>
              <w:top w:w="0" w:type="dxa"/>
              <w:left w:w="0" w:type="dxa"/>
              <w:bottom w:w="0" w:type="dxa"/>
              <w:right w:w="0" w:type="dxa"/>
            </w:tcMar>
            <w:vAlign w:val="center"/>
          </w:tcPr>
          <w:p>
            <w:pPr>
              <w:pStyle w:val="TableContents"/>
              <w:bidi w:val="0"/>
              <w:spacing w:lineRule="auto" w:line="240" w:before="0" w:after="0"/>
              <w:jc w:val="both"/>
              <w:rPr>
                <w:rFonts w:ascii="Poppins;sans-serif" w:hAnsi="Poppins;sans-serif"/>
                <w:b w:val="false"/>
                <w:color w:val="000000"/>
                <w:sz w:val="18"/>
              </w:rPr>
            </w:pPr>
            <w:r>
              <w:rPr>
                <w:rFonts w:ascii="Poppins;sans-serif" w:hAnsi="Poppins;sans-serif"/>
                <w:b w:val="false"/>
                <w:color w:val="000000"/>
                <w:sz w:val="18"/>
              </w:rPr>
              <w:t>*Operating cash conversion is net cash from operating activities divided by net income. Free cash flow conversion is free cash flow less proceeds from sale of assets of $24,572 for fiscal 2026 and $0 for fiscal 2025 divided by net income.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Calculation of the Return on Average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6"/>
              </w:rPr>
            </w:pPr>
            <w:r>
              <w:rPr>
                <w:rFonts w:ascii="Poppins;sans-serif" w:hAnsi="Poppins;sans-serif"/>
                <w:b w:val="false"/>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Net income (trailing four 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18"/>
              </w:rPr>
            </w:pPr>
            <w:r>
              <w:rPr>
                <w:rFonts w:ascii="Poppins;sans-serif" w:hAnsi="Poppins;sans-serif"/>
                <w:b/>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519,153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429,217 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18"/>
              </w:rPr>
            </w:pPr>
            <w:r>
              <w:rPr>
                <w:rFonts w:ascii="Poppins;sans-serif" w:hAnsi="Poppins;sans-serif"/>
                <w:b w:val="false"/>
                <w:color w:val="000000"/>
                <w:sz w:val="18"/>
              </w:rPr>
              <w:t>Average stockholder's equity (period beginning and ending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18"/>
              </w:rPr>
              <w:t>2,085,621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18"/>
              </w:rPr>
            </w:pPr>
            <w:r>
              <w:rPr>
                <w:rFonts w:ascii="Poppins;sans-serif" w:hAnsi="Poppins;sans-serif"/>
                <w:b w:val="false"/>
                <w:color w:val="000000"/>
                <w:sz w:val="18"/>
              </w:rPr>
              <w:t>1,908,181 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RETURN ON AVERAGE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rPr>
            </w:pPr>
            <w:r>
              <w:rPr>
                <w:rFonts w:ascii="Poppins;sans-serif" w:hAnsi="Poppins;sans-serif"/>
                <w:b w:val="false"/>
                <w:color w:val="000000"/>
                <w:sz w:val="18"/>
              </w:rPr>
              <w:t>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5" w:type="dxa"/>
            <w:gridSpan w:val="27"/>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630"/>
        <w:jc w:val="right"/>
        <w:rPr/>
      </w:pPr>
      <w:r>
        <w:rPr/>
        <w:drawing>
          <wp:inline distT="0" distB="0" distL="0" distR="0">
            <wp:extent cx="7772400" cy="95250"/>
            <wp:effectExtent l="0" t="0" r="0" b="0"/>
            <wp:docPr id="7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3" descr=""/>
                    <pic:cNvPicPr>
                      <a:picLocks noChangeAspect="1" noChangeArrowheads="1"/>
                    </pic:cNvPicPr>
                  </pic:nvPicPr>
                  <pic:blipFill>
                    <a:blip r:embed="rId56"/>
                    <a:stretch>
                      <a:fillRect/>
                    </a:stretch>
                  </pic:blipFill>
                  <pic:spPr bwMode="auto">
                    <a:xfrm>
                      <a:off x="0" y="0"/>
                      <a:ext cx="7772400" cy="95250"/>
                    </a:xfrm>
                    <a:prstGeom prst="rect">
                      <a:avLst/>
                    </a:prstGeom>
                  </pic:spPr>
                </pic:pic>
              </a:graphicData>
            </a:graphic>
          </wp:inline>
        </w:drawing>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00735"/>
                <wp:effectExtent l="0" t="0" r="0" b="0"/>
                <wp:wrapNone/>
                <wp:docPr id="72" name="Frame17"/>
                <a:graphic xmlns:a="http://schemas.openxmlformats.org/drawingml/2006/main">
                  <a:graphicData uri="http://schemas.microsoft.com/office/word/2010/wordprocessingShape">
                    <wps:wsp>
                      <wps:cNvSpPr txBox="1"/>
                      <wps:spPr>
                        <a:xfrm>
                          <a:off x="0" y="0"/>
                          <a:ext cx="6480175" cy="800735"/>
                        </a:xfrm>
                        <a:prstGeom prst="rect"/>
                        <a:solidFill>
                          <a:srgbClr val="FFFFFF"/>
                        </a:solidFill>
                      </wps:spPr>
                      <wps:txb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7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2" descr=""/>
                                                <pic:cNvPicPr>
                                                  <a:picLocks noChangeAspect="1" noChangeArrowheads="1"/>
                                                </pic:cNvPicPr>
                                              </pic:nvPicPr>
                                              <pic:blipFill>
                                                <a:blip r:embed="rId57"/>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05pt;mso-wrap-distance-left:0pt;mso-wrap-distance-right:0pt;mso-wrap-distance-top:0pt;mso-wrap-distance-bottom:0pt;margin-top:0pt;mso-position-vertical:top;mso-position-vertical-relative:text;margin-left:0pt;mso-position-horizontal:left;mso-position-horizontal-relative:text">
                <v:textbo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7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2" descr=""/>
                                          <pic:cNvPicPr>
                                            <a:picLocks noChangeAspect="1" noChangeArrowheads="1"/>
                                          </pic:cNvPicPr>
                                        </pic:nvPicPr>
                                        <pic:blipFill>
                                          <a:blip r:embed="rId58"/>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066" w:type="dxa"/>
        <w:jc w:val="left"/>
        <w:tblInd w:w="0" w:type="dxa"/>
        <w:tblLayout w:type="fixed"/>
        <w:tblCellMar>
          <w:top w:w="28" w:type="dxa"/>
          <w:left w:w="28" w:type="dxa"/>
          <w:bottom w:w="28" w:type="dxa"/>
          <w:right w:w="28" w:type="dxa"/>
        </w:tblCellMar>
      </w:tblPr>
      <w:tblGrid>
        <w:gridCol w:w="1561"/>
        <w:gridCol w:w="1369"/>
        <w:gridCol w:w="1376"/>
        <w:gridCol w:w="115"/>
        <w:gridCol w:w="115"/>
        <w:gridCol w:w="115"/>
        <w:gridCol w:w="115"/>
        <w:gridCol w:w="115"/>
        <w:gridCol w:w="115"/>
        <w:gridCol w:w="115"/>
        <w:gridCol w:w="115"/>
        <w:gridCol w:w="115"/>
        <w:gridCol w:w="115"/>
        <w:gridCol w:w="115"/>
        <w:gridCol w:w="115"/>
        <w:gridCol w:w="115"/>
        <w:gridCol w:w="115"/>
        <w:gridCol w:w="115"/>
        <w:gridCol w:w="109"/>
        <w:gridCol w:w="109"/>
        <w:gridCol w:w="109"/>
        <w:gridCol w:w="241"/>
        <w:gridCol w:w="1051"/>
        <w:gridCol w:w="109"/>
        <w:gridCol w:w="109"/>
        <w:gridCol w:w="109"/>
        <w:gridCol w:w="109"/>
        <w:gridCol w:w="226"/>
        <w:gridCol w:w="946"/>
        <w:gridCol w:w="109"/>
        <w:gridCol w:w="109"/>
        <w:gridCol w:w="109"/>
        <w:gridCol w:w="109"/>
        <w:gridCol w:w="109"/>
        <w:gridCol w:w="109"/>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Calculation of NOPAT ROIC (Non-GAAP)</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rPr>
            </w:pPr>
            <w:r>
              <w:rPr>
                <w:rFonts w:ascii="Poppins;sans-serif" w:hAnsi="Poppins;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6"/>
              </w:rPr>
            </w:pPr>
            <w:r>
              <w:rPr>
                <w:rFonts w:ascii="Poppins;sans-serif" w:hAnsi="Poppins;sans-serif"/>
                <w:b w:val="false"/>
                <w:color w:val="000000"/>
                <w:sz w:val="16"/>
              </w:rPr>
              <w:t>(In thousands)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18"/>
                <w:u w:val="single"/>
              </w:rPr>
            </w:pPr>
            <w:r>
              <w:rPr>
                <w:rFonts w:ascii="Poppins;sans-serif" w:hAnsi="Poppins;sans-serif"/>
                <w:b/>
                <w:color w:val="000000"/>
                <w:sz w:val="18"/>
                <w:u w:val="single"/>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18"/>
                <w:u w:val="single"/>
              </w:rPr>
            </w:pPr>
            <w:r>
              <w:rPr>
                <w:rFonts w:ascii="Poppins;sans-serif" w:hAnsi="Poppins;sans-serif"/>
                <w:b w:val="false"/>
                <w:color w:val="000000"/>
                <w:sz w:val="18"/>
                <w:u w:val="single"/>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Operating income (trailing four quarters)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color w:val="000000"/>
                <w:sz w:val="20"/>
              </w:rPr>
            </w:pPr>
            <w:r>
              <w:rPr>
                <w:rFonts w:ascii="Poppins;sans-serif" w:hAnsi="Poppins;sans-serif"/>
                <w:b/>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20"/>
              </w:rPr>
              <w:t>653,957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Poppins;sans-serif" w:hAnsi="Poppins;sans-serif"/>
                <w:b w:val="false"/>
                <w:color w:val="000000"/>
                <w:sz w:val="20"/>
              </w:rPr>
            </w:pPr>
            <w:r>
              <w:rPr>
                <w:rFonts w:ascii="Poppins;sans-serif" w:hAnsi="Poppins;sans-serif"/>
                <w:b w:val="false"/>
                <w:color w:val="000000"/>
                <w:sz w:val="20"/>
              </w:rPr>
              <w:t>$</w:t>
            </w:r>
          </w:p>
        </w:tc>
        <w:tc>
          <w:tcPr>
            <w:tcW w:w="946" w:type="dxa"/>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538,644 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341"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Average Effective Tax Rate (trailing four quarters)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20"/>
              </w:rPr>
            </w:pPr>
            <w:r>
              <w:rPr>
                <w:rFonts w:ascii="Poppins;sans-serif" w:hAnsi="Poppins;sans-serif"/>
                <w:b w:val="false"/>
                <w:color w:val="000000"/>
                <w:sz w:val="20"/>
              </w:rPr>
              <w:t>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NOPAT operating income (trailing four 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20"/>
              </w:rPr>
              <w:t>504,855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415,833 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val="false"/>
                <w:color w:val="000000"/>
                <w:sz w:val="18"/>
              </w:rPr>
            </w:pPr>
            <w:r>
              <w:rPr>
                <w:rFonts w:ascii="Poppins;sans-serif" w:hAnsi="Poppins;sans-serif"/>
                <w:b w:val="false"/>
                <w:color w:val="000000"/>
                <w:sz w:val="18"/>
              </w:rPr>
              <w:t>Average invested capital (period beginning and ending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Poppins;sans-serif" w:hAnsi="Poppins;sans-serif"/>
                <w:b/>
                <w:color w:val="000000"/>
                <w:sz w:val="20"/>
              </w:rPr>
              <w:t>2,215,621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Poppins;sans-serif" w:hAnsi="Poppins;sans-serif"/>
                <w:b w:val="false"/>
                <w:color w:val="000000"/>
                <w:sz w:val="20"/>
              </w:rPr>
            </w:pPr>
            <w:r>
              <w:rPr>
                <w:rFonts w:ascii="Poppins;sans-serif" w:hAnsi="Poppins;sans-serif"/>
                <w:b w:val="false"/>
                <w:color w:val="000000"/>
                <w:sz w:val="20"/>
              </w:rPr>
              <w:t>2,118,181 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Poppins;sans-serif" w:hAnsi="Poppins;sans-serif"/>
                <w:b/>
                <w:color w:val="000000"/>
                <w:sz w:val="18"/>
              </w:rPr>
            </w:pPr>
            <w:r>
              <w:rPr>
                <w:rFonts w:ascii="Poppins;sans-serif" w:hAnsi="Poppins;sans-serif"/>
                <w:b/>
                <w:color w:val="000000"/>
                <w:sz w:val="18"/>
              </w:rPr>
              <w:t>NOPAT ROIC</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color w:val="000000"/>
                <w:sz w:val="20"/>
              </w:rPr>
            </w:pPr>
            <w:r>
              <w:rPr>
                <w:rFonts w:ascii="Poppins;sans-serif" w:hAnsi="Poppins;sans-serif"/>
                <w:b/>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Poppins;sans-serif" w:hAnsi="Poppins;sans-serif"/>
                <w:b w:val="false"/>
                <w:color w:val="000000"/>
                <w:sz w:val="20"/>
              </w:rPr>
            </w:pPr>
            <w:r>
              <w:rPr>
                <w:rFonts w:ascii="Poppins;sans-serif" w:hAnsi="Poppins;sans-serif"/>
                <w:b w:val="false"/>
                <w:color w:val="000000"/>
                <w:sz w:val="20"/>
              </w:rPr>
              <w:t>19.6%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Poppins;sans-serif" w:hAnsi="Poppins;sans-serif"/>
          <w:b w:val="false"/>
          <w:color w:val="000000"/>
          <w:sz w:val="18"/>
        </w:rPr>
      </w:pPr>
      <w:r>
        <w:rPr>
          <w:rFonts w:ascii="Poppins;sans-serif" w:hAnsi="Poppins;sans-serif"/>
          <w:b w:val="false"/>
          <w:color w:val="000000"/>
          <w:sz w:val="18"/>
        </w:rPr>
        <w:t>*NOPAT operating income is calculated by multiplying the trailing four quarters operating income by one minus the average ETR. NOPAT ROIC is calculated by dividing NOPAT operating income by average invested capital (period beginning and ending balances).</w:t>
      </w:r>
    </w:p>
    <w:p>
      <w:pPr>
        <w:pStyle w:val="TextBody"/>
        <w:bidi w:val="0"/>
        <w:spacing w:before="0" w:after="120"/>
        <w:jc w:val="left"/>
        <w:rPr/>
      </w:pPr>
      <w:r>
        <w:rPr/>
      </w:r>
    </w:p>
    <w:p>
      <w:pPr>
        <w:pStyle w:val="TextBody"/>
        <w:bidi w:val="0"/>
        <w:spacing w:lineRule="auto" w:line="288" w:before="0" w:after="120"/>
        <w:jc w:val="left"/>
        <w:rPr>
          <w:rFonts w:ascii="Poppins;sans-serif" w:hAnsi="Poppins;sans-serif"/>
          <w:b/>
          <w:color w:val="000000"/>
          <w:sz w:val="20"/>
        </w:rPr>
      </w:pPr>
      <w:r>
        <w:rPr>
          <w:rFonts w:ascii="Poppins;sans-serif" w:hAnsi="Poppins;sans-serif"/>
          <w:b/>
          <w:color w:val="000000"/>
          <w:sz w:val="20"/>
        </w:rPr>
        <w:t>FAQ for Analysts / Investors</w:t>
      </w:r>
    </w:p>
    <w:p>
      <w:pPr>
        <w:pStyle w:val="TextBody"/>
        <w:bidi w:val="0"/>
        <w:spacing w:lineRule="auto" w:line="288" w:before="0" w:after="120"/>
        <w:ind w:left="0" w:right="0" w:hanging="360"/>
        <w:jc w:val="left"/>
        <w:rPr/>
      </w:pPr>
      <w:r>
        <w:rPr>
          <w:rFonts w:ascii="Poppins;sans-serif" w:hAnsi="Poppins;sans-serif"/>
          <w:b w:val="false"/>
          <w:color w:val="000000"/>
          <w:sz w:val="20"/>
        </w:rPr>
        <w:t>1.)</w:t>
      </w:r>
      <w:r>
        <w:rPr>
          <w:rFonts w:ascii="Poppins;sans-serif" w:hAnsi="Poppins;sans-serif"/>
          <w:b/>
          <w:color w:val="000000"/>
          <w:sz w:val="20"/>
        </w:rPr>
        <w:t>Why does fiscal 2025 non-GAAP revenue used for growth calculation not match reported fiscal 2025 non-GAAP revenue?</w:t>
      </w:r>
    </w:p>
    <w:p>
      <w:pPr>
        <w:pStyle w:val="TextBody"/>
        <w:bidi w:val="0"/>
        <w:spacing w:lineRule="auto" w:line="288" w:before="0" w:after="120"/>
        <w:ind w:left="0" w:right="0" w:hanging="360"/>
        <w:jc w:val="both"/>
        <w:rPr/>
      </w:pPr>
      <w:r>
        <w:rPr>
          <w:color w:val="000000"/>
        </w:rPr>
        <w:t>•</w:t>
      </w:r>
      <w:r>
        <w:rPr>
          <w:rFonts w:ascii="Poppins;sans-serif" w:hAnsi="Poppins;sans-serif"/>
          <w:b w:val="false"/>
          <w:color w:val="000000"/>
          <w:sz w:val="20"/>
        </w:rPr>
        <w:t>The restructuring of a third-party agreement has resulted in a $16 million fiscal year-over-year revenue headwind, with $12 million of that coming in the first quarter and $3 million additional in the second and third quarters.</w:t>
      </w:r>
    </w:p>
    <w:p>
      <w:pPr>
        <w:pStyle w:val="TextBody"/>
        <w:bidi w:val="0"/>
        <w:spacing w:lineRule="auto" w:line="288" w:before="0" w:after="120"/>
        <w:ind w:left="0" w:right="0" w:hanging="360"/>
        <w:jc w:val="both"/>
        <w:rPr/>
      </w:pPr>
      <w:r>
        <w:rPr>
          <w:color w:val="000000"/>
        </w:rPr>
        <w:t>•</w:t>
      </w:r>
      <w:r>
        <w:rPr>
          <w:rFonts w:ascii="Poppins;sans-serif" w:hAnsi="Poppins;sans-serif"/>
          <w:b w:val="false"/>
          <w:color w:val="000000"/>
          <w:sz w:val="20"/>
        </w:rPr>
        <w:t>The remaining $1 million is expected to impact the fourth quarter.</w:t>
      </w:r>
    </w:p>
    <w:p>
      <w:pPr>
        <w:pStyle w:val="TextBody"/>
        <w:bidi w:val="0"/>
        <w:spacing w:lineRule="auto" w:line="288" w:before="0" w:after="120"/>
        <w:ind w:left="0" w:right="0" w:hanging="360"/>
        <w:jc w:val="both"/>
        <w:rPr/>
      </w:pPr>
      <w:r>
        <w:rPr>
          <w:color w:val="000000"/>
        </w:rPr>
        <w:t>•</w:t>
      </w:r>
      <w:r>
        <w:rPr>
          <w:rFonts w:ascii="Poppins;sans-serif" w:hAnsi="Poppins;sans-serif"/>
          <w:b w:val="false"/>
          <w:color w:val="000000"/>
          <w:sz w:val="20"/>
        </w:rPr>
        <w:t>This restructuring has also resulted in a decrease in the related costs and the impact on margins is expected to be minimal.</w:t>
      </w:r>
    </w:p>
    <w:p>
      <w:pPr>
        <w:pStyle w:val="TextBody"/>
        <w:bidi w:val="0"/>
        <w:spacing w:lineRule="auto" w:line="288" w:before="0" w:after="120"/>
        <w:ind w:left="0" w:right="0" w:hanging="360"/>
        <w:jc w:val="both"/>
        <w:rPr/>
      </w:pPr>
      <w:r>
        <w:rPr>
          <w:color w:val="000000"/>
        </w:rPr>
        <w:t>•</w:t>
      </w:r>
      <w:r>
        <w:rPr>
          <w:rFonts w:ascii="Poppins;sans-serif" w:hAnsi="Poppins;sans-serif"/>
          <w:b w:val="false"/>
          <w:color w:val="000000"/>
          <w:sz w:val="20"/>
        </w:rPr>
        <w:t>This has been adjusted for a consistent fiscal year-over-year comparison and is included in our fiscal year 2026 guidance (see page 9).</w:t>
      </w:r>
    </w:p>
    <w:p>
      <w:pPr>
        <w:pStyle w:val="TextBody"/>
        <w:bidi w:val="0"/>
        <w:spacing w:before="0" w:after="120"/>
        <w:jc w:val="both"/>
        <w:rPr/>
      </w:pPr>
      <w:r>
        <w:rPr/>
      </w:r>
    </w:p>
    <w:p>
      <w:pPr>
        <w:pStyle w:val="TextBody"/>
        <w:bidi w:val="0"/>
        <w:spacing w:lineRule="auto" w:line="288" w:before="0" w:after="120"/>
        <w:ind w:left="0" w:right="0" w:hanging="360"/>
        <w:jc w:val="left"/>
        <w:rPr/>
      </w:pPr>
      <w:r>
        <w:rPr>
          <w:rFonts w:ascii="Poppins;sans-serif" w:hAnsi="Poppins;sans-serif"/>
          <w:b w:val="false"/>
          <w:color w:val="000000"/>
          <w:sz w:val="20"/>
        </w:rPr>
        <w:t xml:space="preserve">2.) </w:t>
      </w:r>
      <w:r>
        <w:rPr>
          <w:rFonts w:ascii="Poppins;sans-serif" w:hAnsi="Poppins;sans-serif"/>
          <w:b/>
          <w:color w:val="000000"/>
          <w:sz w:val="20"/>
        </w:rPr>
        <w:t>What are some key elements of the outlook for the fourth quarter of fiscal 2026?</w:t>
      </w:r>
    </w:p>
    <w:p>
      <w:pPr>
        <w:pStyle w:val="TextBody"/>
        <w:bidi w:val="0"/>
        <w:spacing w:lineRule="auto" w:line="288" w:before="0" w:after="120"/>
        <w:ind w:left="0" w:right="0" w:hanging="360"/>
        <w:jc w:val="both"/>
        <w:rPr/>
      </w:pPr>
      <w:r>
        <w:rPr>
          <w:color w:val="000000"/>
        </w:rPr>
        <w:t>•</w:t>
      </w:r>
      <w:r>
        <w:rPr>
          <w:rFonts w:ascii="Poppins;sans-serif" w:hAnsi="Poppins;sans-serif"/>
          <w:b w:val="false"/>
          <w:color w:val="000000"/>
          <w:sz w:val="20"/>
        </w:rPr>
        <w:t>We expect the year-over-year revenue growth rates to slow slightly as we face overall tougher prior year comparables from the fourth quarter of fiscal 2025.</w:t>
      </w:r>
    </w:p>
    <w:p>
      <w:pPr>
        <w:pStyle w:val="TextBody"/>
        <w:bidi w:val="0"/>
        <w:spacing w:lineRule="auto" w:line="240" w:before="0" w:after="0"/>
        <w:ind w:left="0" w:right="0" w:hanging="360"/>
        <w:jc w:val="both"/>
        <w:rPr/>
      </w:pPr>
      <w:r>
        <w:rPr>
          <w:color w:val="000000"/>
        </w:rPr>
        <w:t>•</w:t>
      </w:r>
      <w:r>
        <w:rPr>
          <w:rFonts w:ascii="Poppins;sans-serif" w:hAnsi="Poppins;sans-serif"/>
          <w:b w:val="false"/>
          <w:color w:val="000000"/>
          <w:sz w:val="20"/>
        </w:rPr>
        <w:t>We expect some contraction in margins in the fourth quarter of fiscal 2026 compared to the fiscal year-to-date period margins that positively benefited from lower than normal expense for medical claims under our self-insured employee healthcare plan, especially during the first and second quarters.</w:t>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00735"/>
                <wp:effectExtent l="0" t="0" r="0" b="0"/>
                <wp:wrapNone/>
                <wp:docPr id="75" name="Frame18"/>
                <a:graphic xmlns:a="http://schemas.openxmlformats.org/drawingml/2006/main">
                  <a:graphicData uri="http://schemas.microsoft.com/office/word/2010/wordprocessingShape">
                    <wps:wsp>
                      <wps:cNvSpPr txBox="1"/>
                      <wps:spPr>
                        <a:xfrm>
                          <a:off x="0" y="0"/>
                          <a:ext cx="6480175" cy="800735"/>
                        </a:xfrm>
                        <a:prstGeom prst="rect"/>
                        <a:solidFill>
                          <a:srgbClr val="FFFFFF"/>
                        </a:solidFill>
                      </wps:spPr>
                      <wps:txb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r>
                                    <w:br w:type="page"/>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7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44" descr=""/>
                                                <pic:cNvPicPr>
                                                  <a:picLocks noChangeAspect="1" noChangeArrowheads="1"/>
                                                </pic:cNvPicPr>
                                              </pic:nvPicPr>
                                              <pic:blipFill>
                                                <a:blip r:embed="rId59"/>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05pt;mso-wrap-distance-left:0pt;mso-wrap-distance-right:0pt;mso-wrap-distance-top:0pt;mso-wrap-distance-bottom:0pt;margin-top:0pt;mso-position-vertical:top;mso-position-vertical-relative:text;margin-left:0pt;mso-position-horizontal:left;mso-position-horizontal-relative:text">
                <v:textbox>
                  <w:txbxContent>
                    <w:tbl>
                      <w:tblPr>
                        <w:tblW w:w="2979" w:type="dxa"/>
                        <w:jc w:val="center"/>
                        <w:tblInd w:w="0" w:type="dxa"/>
                        <w:tblLayout w:type="fixed"/>
                        <w:tblCellMar>
                          <w:top w:w="28" w:type="dxa"/>
                          <w:left w:w="28" w:type="dxa"/>
                          <w:bottom w:w="28" w:type="dxa"/>
                          <w:right w:w="28" w:type="dxa"/>
                        </w:tblCellMar>
                      </w:tblPr>
                      <w:tblGrid>
                        <w:gridCol w:w="819"/>
                        <w:gridCol w:w="720"/>
                        <w:gridCol w:w="722"/>
                        <w:gridCol w:w="109"/>
                        <w:gridCol w:w="109"/>
                        <w:gridCol w:w="109"/>
                        <w:gridCol w:w="114"/>
                        <w:gridCol w:w="114"/>
                        <w:gridCol w:w="163"/>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8" w:space="0" w:color="005DA6"/>
                            </w:tcBorders>
                            <w:tcMar>
                              <w:left w:w="0" w:type="dxa"/>
                              <w:bottom w:w="0" w:type="dxa"/>
                              <w:right w:w="0" w:type="dxa"/>
                            </w:tcMar>
                            <w:vAlign w:val="center"/>
                          </w:tcPr>
                          <w:p>
                            <w:pPr>
                              <w:pStyle w:val="TableContents"/>
                              <w:bidi w:val="0"/>
                              <w:spacing w:before="0" w:after="0"/>
                              <w:jc w:val="left"/>
                              <w:rPr/>
                            </w:pPr>
                            <w:r>
                              <w:rPr/>
                              <w:drawing>
                                <wp:inline distT="0" distB="0" distL="0" distR="0">
                                  <wp:extent cx="1371600" cy="285750"/>
                                  <wp:effectExtent l="0" t="0" r="0" b="0"/>
                                  <wp:docPr id="7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44" descr=""/>
                                          <pic:cNvPicPr>
                                            <a:picLocks noChangeAspect="1" noChangeArrowheads="1"/>
                                          </pic:cNvPicPr>
                                        </pic:nvPicPr>
                                        <pic:blipFill>
                                          <a:blip r:embed="rId60"/>
                                          <a:stretch>
                                            <a:fillRect/>
                                          </a:stretch>
                                        </pic:blipFill>
                                        <pic:spPr bwMode="auto">
                                          <a:xfrm>
                                            <a:off x="0" y="0"/>
                                            <a:ext cx="1371600" cy="285750"/>
                                          </a:xfrm>
                                          <a:prstGeom prst="rect">
                                            <a:avLst/>
                                          </a:prstGeom>
                                        </pic:spPr>
                                      </pic:pic>
                                    </a:graphicData>
                                  </a:graphic>
                                </wp:inline>
                              </w:drawing>
                            </w:r>
                          </w:p>
                        </w:tc>
                        <w:tc>
                          <w:tcPr>
                            <w:tcW w:w="327" w:type="dxa"/>
                            <w:gridSpan w:val="3"/>
                            <w:tcBorders>
                              <w:top w:val="single" w:sz="8" w:space="0" w:color="005DA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5DA6"/>
                            </w:tcBorders>
                            <w:tcMar>
                              <w:top w:w="30" w:type="dxa"/>
                              <w:left w:w="0" w:type="dxa"/>
                              <w:bottom w:w="0" w:type="dxa"/>
                              <w:right w:w="0" w:type="dxa"/>
                            </w:tcMar>
                            <w:vAlign w:val="center"/>
                          </w:tcPr>
                          <w:p>
                            <w:pPr>
                              <w:pStyle w:val="TableContents"/>
                              <w:bidi w:val="0"/>
                              <w:spacing w:lineRule="auto" w:line="240" w:before="0" w:after="0"/>
                              <w:jc w:val="right"/>
                              <w:rPr>
                                <w:rFonts w:ascii="Avenir LT Pro 55 Roman;sans-serif" w:hAnsi="Avenir LT Pro 55 Roman;sans-serif"/>
                                <w:b w:val="false"/>
                                <w:color w:val="1E3767"/>
                                <w:sz w:val="18"/>
                              </w:rPr>
                            </w:pPr>
                            <w:r>
                              <w:rPr>
                                <w:rFonts w:ascii="Avenir LT Pro 55 Roman;sans-serif" w:hAnsi="Avenir LT Pro 55 Roman;sans-serif"/>
                                <w:b w:val="false"/>
                                <w:color w:val="1E3767"/>
                                <w:sz w:val="18"/>
                              </w:rPr>
                              <w:t>15</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Poppins">
    <w:altName w:val="sans-serif"/>
    <w:charset w:val="01"/>
    <w:family w:val="auto"/>
    <w:pitch w:val="default"/>
  </w:font>
  <w:font w:name="Poppins SemiBold">
    <w:altName w:val="sans-serif"/>
    <w:charset w:val="01"/>
    <w:family w:val="auto"/>
    <w:pitch w:val="default"/>
  </w:font>
  <w:font w:name="Avenir LT Pro 55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image" Target="media/image1.png"/><Relationship Id="rId9" Type="http://schemas.openxmlformats.org/officeDocument/2006/relationships/image" Target="media/image1.png"/><Relationship Id="rId10" Type="http://schemas.openxmlformats.org/officeDocument/2006/relationships/image" Target="media/image1.png"/><Relationship Id="rId11" Type="http://schemas.openxmlformats.org/officeDocument/2006/relationships/image" Target="media/image1.pn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1.pn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1.pn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1.pn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1.pn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1.pn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1.pn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1.pn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1.pn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3.jpeg"/><Relationship Id="rId39" Type="http://schemas.openxmlformats.org/officeDocument/2006/relationships/image" Target="media/image4.jpeg"/><Relationship Id="rId40" Type="http://schemas.openxmlformats.org/officeDocument/2006/relationships/image" Target="media/image5.jpeg"/><Relationship Id="rId41" Type="http://schemas.openxmlformats.org/officeDocument/2006/relationships/image" Target="media/image6.jpeg"/><Relationship Id="rId42" Type="http://schemas.openxmlformats.org/officeDocument/2006/relationships/image" Target="media/image1.pn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1.pn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7.png"/><Relationship Id="rId49" Type="http://schemas.openxmlformats.org/officeDocument/2006/relationships/image" Target="media/image8.png"/><Relationship Id="rId50" Type="http://schemas.openxmlformats.org/officeDocument/2006/relationships/image" Target="media/image1.pn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1.pn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1.pn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6436</Words>
  <Characters>35669</Characters>
  <CharactersWithSpaces>41213</CharactersWithSpaces>
  <Paragraphs>1622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