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QUARTERLY REPORT PURSUANT TO SECTION 13 OR 15(d) OF THE SECURITIES EXCHANGE ACT OF 1934</w:t>
            </w:r>
          </w:p>
        </w:tc>
      </w:tr>
    </w:tbl>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For the quarterly period ended September 30,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8"/>
        <w:gridCol w:w="2881"/>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transition period from ______________ to ________________</w:t>
            </w:r>
          </w:p>
        </w:tc>
      </w:tr>
    </w:tbl>
    <w:p>
      <w:pPr>
        <w:pStyle w:val="TextBody"/>
        <w:bidi w:val="0"/>
        <w:spacing w:lineRule="auto" w:line="288" w:before="0" w:after="120"/>
        <w:jc w:val="left"/>
        <w:rPr/>
      </w:pPr>
      <w:r>
        <w:rPr>
          <w:rFonts w:ascii="Arial;sans-serif" w:hAnsi="Arial;sans-serif"/>
          <w:b w:val="false"/>
          <w:color w:val="000000"/>
          <w:sz w:val="20"/>
        </w:rPr>
        <w:t xml:space="preserve">Commission file number </w:t>
      </w:r>
      <w:r>
        <w:rPr>
          <w:rFonts w:ascii="Arial;sans-serif" w:hAnsi="Arial;sans-serif"/>
          <w:b w:val="false"/>
          <w:color w:val="000000"/>
          <w:sz w:val="20"/>
          <w:u w:val="single"/>
        </w:rPr>
        <w:t>0-14112</w:t>
      </w:r>
      <w:r>
        <w:rPr>
          <w:color w:val="000000"/>
        </w:rPr>
        <w:t xml:space="preserve"> </w:t>
      </w:r>
    </w:p>
    <w:p>
      <w:pPr>
        <w:pStyle w:val="TextBody"/>
        <w:bidi w:val="0"/>
        <w:spacing w:lineRule="auto" w:line="288" w:before="0" w:after="0"/>
        <w:jc w:val="center"/>
        <w:rPr>
          <w:rFonts w:ascii="Arial;sans-serif" w:hAnsi="Arial;sans-serif"/>
          <w:b/>
          <w:color w:val="000000"/>
          <w:sz w:val="24"/>
          <w:u w:val="single"/>
        </w:rPr>
      </w:pPr>
      <w:r>
        <w:rPr>
          <w:rFonts w:ascii="Arial;sans-serif" w:hAnsi="Arial;sans-serif"/>
          <w:b/>
          <w:color w:val="000000"/>
          <w:sz w:val="24"/>
          <w:u w:val="single"/>
        </w:rPr>
        <w:t xml:space="preserve">JACK HENRY &amp; ASSOCIATES,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7450" w:type="dxa"/>
        <w:jc w:val="center"/>
        <w:tblInd w:w="0" w:type="dxa"/>
        <w:tblLayout w:type="fixed"/>
        <w:tblCellMar>
          <w:top w:w="28" w:type="dxa"/>
          <w:left w:w="28" w:type="dxa"/>
          <w:bottom w:w="28" w:type="dxa"/>
          <w:right w:w="28" w:type="dxa"/>
        </w:tblCellMar>
      </w:tblPr>
      <w:tblGrid>
        <w:gridCol w:w="1422"/>
        <w:gridCol w:w="1246"/>
        <w:gridCol w:w="1261"/>
        <w:gridCol w:w="109"/>
        <w:gridCol w:w="109"/>
        <w:gridCol w:w="109"/>
        <w:gridCol w:w="932"/>
        <w:gridCol w:w="932"/>
        <w:gridCol w:w="1330"/>
      </w:tblGrid>
      <w:tr>
        <w:trPr/>
        <w:tc>
          <w:tcPr>
            <w:tcW w:w="142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43-1128385</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 xml:space="preserve">663 Highway 60, P.O. Box 807, Monett, MO 65708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(Zip Code)</w:t>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 xml:space="preserve">417-235-6652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178" w:type="dxa"/>
        <w:jc w:val="left"/>
        <w:tblInd w:w="0" w:type="dxa"/>
        <w:tblLayout w:type="fixed"/>
        <w:tblCellMar>
          <w:top w:w="28" w:type="dxa"/>
          <w:left w:w="28" w:type="dxa"/>
          <w:bottom w:w="28" w:type="dxa"/>
          <w:right w:w="28" w:type="dxa"/>
        </w:tblCellMar>
      </w:tblPr>
      <w:tblGrid>
        <w:gridCol w:w="1210"/>
        <w:gridCol w:w="1063"/>
        <w:gridCol w:w="1072"/>
        <w:gridCol w:w="609"/>
        <w:gridCol w:w="609"/>
        <w:gridCol w:w="611"/>
        <w:gridCol w:w="1170"/>
        <w:gridCol w:w="1170"/>
        <w:gridCol w:w="1664"/>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Arial;sans-serif" w:hAnsi="Arial;sans-serif"/>
                <w:b w:val="false"/>
                <w:color w:val="000000"/>
                <w:sz w:val="20"/>
                <w:u w:val="single"/>
              </w:rPr>
            </w:pPr>
            <w:r>
              <w:rPr>
                <w:rFonts w:ascii="Arial;sans-serif" w:hAnsi="Arial;sans-serif"/>
                <w:b w:val="false"/>
                <w:color w:val="000000"/>
                <w:sz w:val="20"/>
                <w:u w:val="single"/>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Arial;sans-serif" w:hAnsi="Arial;sans-serif"/>
                <w:b w:val="false"/>
                <w:color w:val="000000"/>
                <w:sz w:val="20"/>
                <w:u w:val="single"/>
              </w:rPr>
            </w:pPr>
            <w:r>
              <w:rPr>
                <w:rFonts w:ascii="Arial;sans-serif" w:hAnsi="Arial;sans-serif"/>
                <w:b w:val="false"/>
                <w:color w:val="000000"/>
                <w:sz w:val="20"/>
                <w:u w:val="single"/>
              </w:rPr>
              <w:t>Trading Symbol</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Name of each exchange on which registered</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Arial;sans-serif" w:hAnsi="Arial;sans-serif"/>
                <w:b w:val="false"/>
                <w:color w:val="000000"/>
                <w:sz w:val="20"/>
              </w:rPr>
            </w:pPr>
            <w:r>
              <w:rPr>
                <w:rFonts w:ascii="Arial;sans-serif" w:hAnsi="Arial;sans-serif"/>
                <w:b w:val="false"/>
                <w:color w:val="000000"/>
                <w:sz w:val="20"/>
              </w:rPr>
              <w:t>Common Stock ($0.01 par value)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Arial;sans-serif" w:hAnsi="Arial;sans-serif"/>
                <w:b w:val="false"/>
                <w:color w:val="000000"/>
                <w:sz w:val="20"/>
              </w:rPr>
            </w:pPr>
            <w:r>
              <w:rPr>
                <w:rFonts w:ascii="Arial;sans-serif" w:hAnsi="Arial;sans-serif"/>
                <w:b w:val="false"/>
                <w:color w:val="000000"/>
                <w:sz w:val="20"/>
              </w:rPr>
              <w:t>JKHY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20"/>
        <w:jc w:val="both"/>
        <w:rPr/>
      </w:pPr>
      <w:r>
        <w:rPr>
          <w:rFonts w:ascii="Arial;sans-serif" w:hAnsi="Arial;sans-serif"/>
          <w:b w:val="false"/>
          <w:color w:val="000000"/>
          <w:sz w:val="20"/>
        </w:rPr>
        <w:t xml:space="preserve">Yes </w:t>
      </w:r>
      <w:r>
        <w:rPr>
          <w:color w:val="000000"/>
        </w:rPr>
        <w:t>☒  </w:t>
      </w:r>
      <w:r>
        <w:rPr>
          <w:rFonts w:ascii="Arial;sans-serif" w:hAnsi="Arial;sans-serif"/>
          <w:b w:val="false"/>
          <w:color w:val="000000"/>
          <w:sz w:val="20"/>
        </w:rPr>
        <w:t xml:space="preserve">No </w:t>
      </w:r>
      <w:r>
        <w:rPr>
          <w:color w:val="000000"/>
        </w:rPr>
        <w:t>☐</w:t>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lineRule="auto" w:line="288" w:before="0" w:after="120"/>
        <w:jc w:val="both"/>
        <w:rPr/>
      </w:pPr>
      <w:r>
        <w:rPr>
          <w:rFonts w:ascii="Arial;sans-serif" w:hAnsi="Arial;sans-serif"/>
          <w:b w:val="false"/>
          <w:color w:val="000000"/>
          <w:sz w:val="20"/>
        </w:rPr>
        <w:t xml:space="preserve">Yes </w:t>
      </w:r>
      <w:r>
        <w:rPr>
          <w:color w:val="000000"/>
        </w:rPr>
        <w:t>☒  </w:t>
      </w:r>
      <w:r>
        <w:rPr>
          <w:rFonts w:ascii="Arial;sans-serif" w:hAnsi="Arial;sans-serif"/>
          <w:b w:val="false"/>
          <w:color w:val="000000"/>
          <w:sz w:val="20"/>
        </w:rPr>
        <w:t xml:space="preserve">No </w:t>
      </w:r>
      <w:r>
        <w:rPr>
          <w:color w:val="000000"/>
        </w:rPr>
        <w:t>☐</w:t>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559" w:type="dxa"/>
        <w:jc w:val="left"/>
        <w:tblInd w:w="0" w:type="dxa"/>
        <w:tblLayout w:type="fixed"/>
        <w:tblCellMar>
          <w:top w:w="28" w:type="dxa"/>
          <w:left w:w="28" w:type="dxa"/>
          <w:bottom w:w="28" w:type="dxa"/>
          <w:right w:w="28" w:type="dxa"/>
        </w:tblCellMar>
      </w:tblPr>
      <w:tblGrid>
        <w:gridCol w:w="881"/>
        <w:gridCol w:w="772"/>
        <w:gridCol w:w="777"/>
        <w:gridCol w:w="109"/>
        <w:gridCol w:w="109"/>
        <w:gridCol w:w="109"/>
        <w:gridCol w:w="809"/>
        <w:gridCol w:w="809"/>
        <w:gridCol w:w="812"/>
        <w:gridCol w:w="109"/>
        <w:gridCol w:w="109"/>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  </w:t>
      </w:r>
    </w:p>
    <w:p>
      <w:pPr>
        <w:pStyle w:val="TextBody"/>
        <w:bidi w:val="0"/>
        <w:spacing w:lineRule="auto" w:line="288" w:before="0" w:after="120"/>
        <w:jc w:val="both"/>
        <w:rPr/>
      </w:pPr>
      <w:r>
        <w:rPr>
          <w:rFonts w:ascii="Arial;sans-serif" w:hAnsi="Arial;sans-serif"/>
          <w:b w:val="false"/>
          <w:color w:val="000000"/>
          <w:sz w:val="20"/>
        </w:rPr>
        <w:t xml:space="preserve">Yes </w:t>
      </w:r>
      <w:r>
        <w:rPr>
          <w:color w:val="000000"/>
        </w:rPr>
        <w:t xml:space="preserve">☐ </w:t>
      </w:r>
      <w:r>
        <w:rPr>
          <w:rFonts w:ascii="Arial;sans-serif" w:hAnsi="Arial;sans-serif"/>
          <w:b w:val="false"/>
          <w:color w:val="000000"/>
          <w:sz w:val="20"/>
        </w:rPr>
        <w:t xml:space="preserve">No </w:t>
      </w:r>
      <w:r>
        <w:rPr>
          <w:color w:val="00000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October 24, 2025, the Registrant had 72,377,132 shares of Common Stock outstanding ($0.01 par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2"/>
        <w:gridCol w:w="238"/>
        <w:gridCol w:w="240"/>
        <w:gridCol w:w="2702"/>
        <w:gridCol w:w="2702"/>
        <w:gridCol w:w="2708"/>
        <w:gridCol w:w="391"/>
        <w:gridCol w:w="391"/>
        <w:gridCol w:w="561"/>
      </w:tblGrid>
      <w:tr>
        <w:trPr/>
        <w:tc>
          <w:tcPr>
            <w:tcW w:w="2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Page Reference</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8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FINANCIAL INFORMATION</w:t>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rPr>
            </w:pPr>
            <w:r>
              <w:rPr>
                <w:rFonts w:ascii="Arial;sans-serif" w:hAnsi="Arial;sans-serif"/>
                <w:b w:val="false"/>
                <w:color w:val="0000FF"/>
                <w:sz w:val="20"/>
              </w:rPr>
              <w:t>Condensed Consolidated Balance Sheets as of September 30, 2025, and June 30, 2025 (Unaudited)</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3a27d6a0044ce941dca7a02c75905_16">
              <w:r>
                <w:rPr>
                  <w:rStyle w:val="InternetLink"/>
                  <w:rFonts w:ascii="Arial;sans-serif" w:hAnsi="Arial;sans-serif"/>
                  <w:b w:val="false"/>
                  <w:color w:val="0000FF"/>
                  <w:sz w:val="20"/>
                  <w:u w:val="single"/>
                </w:rPr>
                <w:t>4</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rPr>
            </w:pPr>
            <w:r>
              <w:rPr>
                <w:rFonts w:ascii="Arial;sans-serif" w:hAnsi="Arial;sans-serif"/>
                <w:b w:val="false"/>
                <w:color w:val="0000FF"/>
                <w:sz w:val="20"/>
              </w:rPr>
              <w:t>Condensed Consolidated Statements of Income for the Three Months Ended September 30, 2025 and 2024 (Unaudited)</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3a27d6a0044ce941dca7a02c75905_19">
              <w:r>
                <w:rPr>
                  <w:rStyle w:val="InternetLink"/>
                  <w:rFonts w:ascii="Arial;sans-serif" w:hAnsi="Arial;sans-serif"/>
                  <w:b w:val="false"/>
                  <w:color w:val="0000FF"/>
                  <w:sz w:val="20"/>
                  <w:u w:val="single"/>
                </w:rPr>
                <w:t>5</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rPr>
            </w:pPr>
            <w:r>
              <w:rPr>
                <w:rFonts w:ascii="Arial;sans-serif" w:hAnsi="Arial;sans-serif"/>
                <w:b w:val="false"/>
                <w:color w:val="0000FF"/>
                <w:sz w:val="20"/>
              </w:rPr>
              <w:t>Condensed Consolidated Statements of Changes in Stockholders' Equity for the Three Months Ended September 30, 2025 and 2024 (Unaudited)</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3a27d6a0044ce941dca7a02c75905_22">
              <w:r>
                <w:rPr>
                  <w:rStyle w:val="InternetLink"/>
                  <w:rFonts w:ascii="Arial;sans-serif" w:hAnsi="Arial;sans-serif"/>
                  <w:b w:val="false"/>
                  <w:color w:val="0000FF"/>
                  <w:sz w:val="20"/>
                  <w:u w:val="single"/>
                </w:rPr>
                <w:t>6</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rPr>
            </w:pPr>
            <w:r>
              <w:rPr>
                <w:rFonts w:ascii="Arial;sans-serif" w:hAnsi="Arial;sans-serif"/>
                <w:b w:val="false"/>
                <w:color w:val="0000FF"/>
                <w:sz w:val="20"/>
              </w:rPr>
              <w:t>Condensed Consolidated Statements of Cash Flows for the Three Months Ended September 30, 2025 and 2024 (Unaudited)</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3a27d6a0044ce941dca7a02c75905_25">
              <w:r>
                <w:rPr>
                  <w:rStyle w:val="InternetLink"/>
                  <w:rFonts w:ascii="Arial;sans-serif" w:hAnsi="Arial;sans-serif"/>
                  <w:b w:val="false"/>
                  <w:color w:val="0000FF"/>
                  <w:sz w:val="20"/>
                  <w:u w:val="single"/>
                </w:rPr>
                <w:t>7</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Notes to Condensed Consolidated Financial Statements (Unaudited)</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3a27d6a0044ce941dca7a02c75905_28">
              <w:r>
                <w:rPr>
                  <w:rStyle w:val="InternetLink"/>
                  <w:rFonts w:ascii="Arial;sans-serif" w:hAnsi="Arial;sans-serif"/>
                  <w:b w:val="false"/>
                  <w:color w:val="0000FF"/>
                  <w:sz w:val="20"/>
                  <w:u w:val="single"/>
                </w:rPr>
                <w:t>8</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Management's Discussion and Analysis of Financial Condition and Results of Operations</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3a27d6a0044ce941dca7a02c75905_82">
              <w:r>
                <w:rPr>
                  <w:rStyle w:val="InternetLink"/>
                  <w:rFonts w:ascii="Arial;sans-serif" w:hAnsi="Arial;sans-serif"/>
                  <w:b w:val="false"/>
                  <w:color w:val="0000FF"/>
                  <w:sz w:val="20"/>
                  <w:u w:val="single"/>
                </w:rPr>
                <w:t>20</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Quantitative and Qualitative Disclosures about Market Risk</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3a27d6a0044ce941dca7a02c75905_97">
              <w:r>
                <w:rPr>
                  <w:rStyle w:val="InternetLink"/>
                  <w:rFonts w:ascii="Arial;sans-serif" w:hAnsi="Arial;sans-serif"/>
                  <w:b w:val="false"/>
                  <w:color w:val="0000FF"/>
                  <w:sz w:val="20"/>
                  <w:u w:val="single"/>
                </w:rPr>
                <w:t>27</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Controls and Procedures</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3a27d6a0044ce941dca7a02c75905_100">
              <w:r>
                <w:rPr>
                  <w:rStyle w:val="InternetLink"/>
                  <w:rFonts w:ascii="Arial;sans-serif" w:hAnsi="Arial;sans-serif"/>
                  <w:b w:val="false"/>
                  <w:color w:val="0000FF"/>
                  <w:sz w:val="20"/>
                  <w:u w:val="single"/>
                </w:rPr>
                <w:t>27</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8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OTHER INFORMATION</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3a27d6a0044ce941dca7a02c75905_103">
              <w:r>
                <w:rPr>
                  <w:rStyle w:val="InternetLink"/>
                  <w:rFonts w:ascii="Arial;sans-serif" w:hAnsi="Arial;sans-serif"/>
                  <w:b w:val="false"/>
                  <w:color w:val="0000FF"/>
                  <w:sz w:val="20"/>
                  <w:u w:val="single"/>
                </w:rPr>
                <w:t>27</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Legal Proceedings</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3a27d6a0044ce941dca7a02c75905_106">
              <w:r>
                <w:rPr>
                  <w:rStyle w:val="InternetLink"/>
                  <w:rFonts w:ascii="Arial;sans-serif" w:hAnsi="Arial;sans-serif"/>
                  <w:b w:val="false"/>
                  <w:color w:val="0000FF"/>
                  <w:sz w:val="20"/>
                  <w:u w:val="single"/>
                </w:rPr>
                <w:t>27</w:t>
              </w:r>
            </w:hyperlink>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8112"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8112"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Unregistered Sales of Equity Securities and Use of Proceeds</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3a27d6a0044ce941dca7a02c75905_109">
              <w:r>
                <w:rPr>
                  <w:rStyle w:val="InternetLink"/>
                  <w:rFonts w:ascii="Arial;sans-serif" w:hAnsi="Arial;sans-serif"/>
                  <w:b w:val="false"/>
                  <w:color w:val="0000FF"/>
                  <w:sz w:val="20"/>
                  <w:u w:val="single"/>
                </w:rPr>
                <w:t>28</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Other Information</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3a27d6a0044ce941dca7a02c75905_112">
              <w:r>
                <w:rPr>
                  <w:rStyle w:val="InternetLink"/>
                  <w:rFonts w:ascii="Arial;sans-serif" w:hAnsi="Arial;sans-serif"/>
                  <w:b w:val="false"/>
                  <w:color w:val="0000FF"/>
                  <w:sz w:val="20"/>
                  <w:u w:val="single"/>
                </w:rPr>
                <w:t>28</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Exhibits</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3a27d6a0044ce941dca7a02c75905_115">
              <w:r>
                <w:rPr>
                  <w:rStyle w:val="InternetLink"/>
                  <w:rFonts w:ascii="Arial;sans-serif" w:hAnsi="Arial;sans-serif"/>
                  <w:b w:val="false"/>
                  <w:color w:val="0000FF"/>
                  <w:sz w:val="20"/>
                  <w:u w:val="single"/>
                </w:rPr>
                <w:t>29</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Signatures</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3a27d6a0044ce941dca7a02c75905_118">
              <w:r>
                <w:rPr>
                  <w:rStyle w:val="InternetLink"/>
                  <w:rFonts w:ascii="Arial;sans-serif" w:hAnsi="Arial;sans-serif"/>
                  <w:b w:val="false"/>
                  <w:color w:val="0000FF"/>
                  <w:sz w:val="20"/>
                  <w:u w:val="single"/>
                </w:rPr>
                <w:t>30</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this report, all references to “Jack Henry,” the “Company,” “we,” “us,” and “our,” refer to Jack Henry &amp; Associates, Inc., and its wholly owned subsidiaries. </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FORWARD LOOKING STATEMENTS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Quarterly Report on Form 10-Q, those discussed in our Annual Report on Form 10-K for the fiscal year ended June 30, 2025, in particular, those included in Item 1A, “Risk Factors” of such report, and those discussed in other documents we file with the Securities and Exchange Commission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I. FINANCIAL STATEMENTS</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26"/>
        <w:gridCol w:w="1639"/>
        <w:gridCol w:w="1663"/>
        <w:gridCol w:w="336"/>
        <w:gridCol w:w="1631"/>
        <w:gridCol w:w="173"/>
        <w:gridCol w:w="173"/>
        <w:gridCol w:w="173"/>
        <w:gridCol w:w="173"/>
        <w:gridCol w:w="336"/>
        <w:gridCol w:w="1631"/>
        <w:gridCol w:w="251"/>
      </w:tblGrid>
      <w:tr>
        <w:trPr/>
        <w:tc>
          <w:tcPr>
            <w:tcW w:w="2026"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JACK HENRY &amp; ASSOCIATES,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CONDENSED CONSOLIDATED BALANCE SHEETS (Unaudited)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Share and Per Share Data)</w:t>
            </w:r>
          </w:p>
        </w:tc>
      </w:tr>
      <w:tr>
        <w:trPr/>
        <w:tc>
          <w:tcPr>
            <w:tcW w:w="5328" w:type="dxa"/>
            <w:gridSpan w:val="3"/>
            <w:tcBorders/>
            <w:vAlign w:val="center"/>
          </w:tcPr>
          <w:p>
            <w:pPr>
              <w:pStyle w:val="TableContents"/>
              <w:bidi w:val="0"/>
              <w:spacing w:before="0" w:after="283"/>
              <w:jc w:val="left"/>
              <w:rPr>
                <w:sz w:val="4"/>
                <w:szCs w:val="4"/>
              </w:rPr>
            </w:pPr>
            <w:r>
              <w:rPr>
                <w:sz w:val="4"/>
                <w:szCs w:val="4"/>
              </w:rPr>
            </w:r>
          </w:p>
        </w:tc>
        <w:tc>
          <w:tcPr>
            <w:tcW w:w="4877" w:type="dxa"/>
            <w:gridSpan w:val="9"/>
            <w:tcBorders/>
          </w:tcPr>
          <w:p>
            <w:pPr>
              <w:pStyle w:val="TableContents"/>
              <w:bidi w:val="0"/>
              <w:spacing w:before="0" w:after="283"/>
              <w:jc w:val="left"/>
              <w:rPr>
                <w:sz w:val="4"/>
                <w:szCs w:val="4"/>
              </w:rPr>
            </w:pPr>
            <w:r>
              <w:rPr>
                <w:sz w:val="4"/>
                <w:szCs w:val="4"/>
              </w:rPr>
            </w:r>
          </w:p>
        </w:tc>
      </w:tr>
      <w:tr>
        <w:trPr/>
        <w:tc>
          <w:tcPr>
            <w:tcW w:w="53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br/>
              <w:t>2025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br/>
              <w:t>2025</w:t>
            </w:r>
          </w:p>
        </w:tc>
      </w:tr>
      <w:tr>
        <w:trPr/>
        <w:tc>
          <w:tcPr>
            <w:tcW w:w="5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36,239</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101,953 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307,647</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317,977 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784</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210,550</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costs</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85,089</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75,777 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11,346</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651,655</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681,464 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PROPERTY AND EQUIPMENT, net</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204,950</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220,964 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ASSETS:</w:t>
            </w:r>
          </w:p>
        </w:tc>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deferred costs</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211,843</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207,861 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software, net of amortization</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643,667</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617,029 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439,098</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443,624 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 net of amortization</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48,120</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48,440 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 of amortization</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21,574</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19,791 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826,665</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804,797 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other assets</w:t>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2,190,967</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2,141,542 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3,047,572</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3,043,970 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214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17,719</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172,948</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207,434 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vAlign w:val="center"/>
          </w:tcPr>
          <w:p>
            <w:pPr>
              <w:pStyle w:val="TableContents"/>
              <w:bidi w:val="0"/>
              <w:spacing w:before="0" w:after="283"/>
              <w:jc w:val="left"/>
              <w:rPr>
                <w:sz w:val="4"/>
                <w:szCs w:val="4"/>
              </w:rPr>
            </w:pPr>
            <w:r>
              <w:rPr>
                <w:sz w:val="4"/>
                <w:szCs w:val="4"/>
              </w:rPr>
            </w:r>
          </w:p>
        </w:tc>
        <w:tc>
          <w:tcPr>
            <w:tcW w:w="214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income taxes</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vAlign w:val="center"/>
          </w:tcPr>
          <w:p>
            <w:pPr>
              <w:pStyle w:val="TableContents"/>
              <w:bidi w:val="0"/>
              <w:spacing w:before="0" w:after="283"/>
              <w:jc w:val="left"/>
              <w:rPr>
                <w:sz w:val="4"/>
                <w:szCs w:val="4"/>
              </w:rPr>
            </w:pPr>
            <w:r>
              <w:rPr>
                <w:sz w:val="4"/>
                <w:szCs w:val="4"/>
              </w:rPr>
            </w:r>
          </w:p>
        </w:tc>
        <w:tc>
          <w:tcPr>
            <w:tcW w:w="214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revenues</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245,466</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290,485 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436,133</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535,784 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LONG-TERM LIABILITIES:</w:t>
            </w:r>
          </w:p>
        </w:tc>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deferred revenues</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75,616</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liability</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279,013</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240,026 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net of current maturities</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20,000</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63,476</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64,439 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long-term liabilities</w:t>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438,105</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377,354 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874,238</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913,138 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 $1 par value; 500,000 shares authorized, none issued</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 $0.01 par value; 250,000,000 shares authorized;</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 xml:space="preserve">104,512,857 shares issued at September 30, 2025; </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104,415,989 shares issued at June 30, 2025</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1,045</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654,923</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652,218 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3,474,635</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3,372,794 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treasury stock at cost</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31,968,990 shares at September 30, 2025;</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31,579,598 shares at June 30, 2025</w:t>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(1,957,269)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(1,895,224)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2,173,334</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2,130,832 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equity</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3,047,572</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3,043,970 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23"/>
        <w:gridCol w:w="1244"/>
        <w:gridCol w:w="1260"/>
        <w:gridCol w:w="455"/>
        <w:gridCol w:w="1854"/>
        <w:gridCol w:w="235"/>
        <w:gridCol w:w="235"/>
        <w:gridCol w:w="235"/>
        <w:gridCol w:w="235"/>
        <w:gridCol w:w="455"/>
        <w:gridCol w:w="1854"/>
        <w:gridCol w:w="235"/>
        <w:gridCol w:w="109"/>
        <w:gridCol w:w="109"/>
        <w:gridCol w:w="109"/>
        <w:gridCol w:w="158"/>
      </w:tblGrid>
      <w:tr>
        <w:trPr/>
        <w:tc>
          <w:tcPr>
            <w:tcW w:w="142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JACK HENRY &amp; ASSOCIATES, INC. AND SUBSIDIARIES</w:t>
            </w:r>
          </w:p>
        </w:tc>
        <w:tc>
          <w:tcPr>
            <w:tcW w:w="485" w:type="dxa"/>
            <w:gridSpan w:val="4"/>
            <w:tcBorders/>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CONDENSED CONSOLIDATED STATEMENTS OF INCOME (Unaudited)</w:t>
            </w:r>
          </w:p>
        </w:tc>
        <w:tc>
          <w:tcPr>
            <w:tcW w:w="485" w:type="dxa"/>
            <w:gridSpan w:val="4"/>
            <w:tcBorders/>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Per Share Data)</w:t>
            </w:r>
          </w:p>
        </w:tc>
        <w:tc>
          <w:tcPr>
            <w:tcW w:w="485" w:type="dxa"/>
            <w:gridSpan w:val="4"/>
            <w:tcBorders/>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6278" w:type="dxa"/>
            <w:gridSpan w:val="13"/>
            <w:tcBorders/>
          </w:tcPr>
          <w:p>
            <w:pPr>
              <w:pStyle w:val="TableContents"/>
              <w:bidi w:val="0"/>
              <w:spacing w:before="0" w:after="283"/>
              <w:jc w:val="left"/>
              <w:rPr>
                <w:sz w:val="4"/>
                <w:szCs w:val="4"/>
              </w:rPr>
            </w:pPr>
            <w:r>
              <w:rPr>
                <w:sz w:val="4"/>
                <w:szCs w:val="4"/>
              </w:rPr>
            </w:r>
          </w:p>
        </w:tc>
      </w:tr>
      <w:tr>
        <w:trPr/>
        <w:tc>
          <w:tcPr>
            <w:tcW w:w="3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644,738</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600,982 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348,566</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343,432 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39,278</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39,686 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72,829</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66,588 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Expenses</w:t>
            </w:r>
          </w:p>
        </w:tc>
        <w:tc>
          <w:tcPr>
            <w:tcW w:w="2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460,673</w:t>
            </w: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449,706 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2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184,065</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151,276 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INTEREST INCOME</w:t>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7,139</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(2,825)</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Interest Income</w:t>
            </w:r>
          </w:p>
        </w:tc>
        <w:tc>
          <w:tcPr>
            <w:tcW w:w="2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6,253</w:t>
            </w:r>
            <w:r>
              <w:rPr>
                <w:color w:val="000000"/>
              </w:rPr>
              <w:t>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190,318</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156,798 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PROVISION FOR INCOME TAXES</w:t>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46,332</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37,607 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143,986</w:t>
            </w:r>
            <w:r>
              <w:rPr>
                <w:color w:val="000000"/>
              </w:rPr>
              <w:t>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119,191 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shares outstanding</w:t>
            </w:r>
          </w:p>
        </w:tc>
        <w:tc>
          <w:tcPr>
            <w:tcW w:w="2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72,751</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72,905 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shares outstanding</w:t>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72,909</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73,078 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06"/>
        <w:gridCol w:w="1059"/>
        <w:gridCol w:w="1063"/>
        <w:gridCol w:w="420"/>
        <w:gridCol w:w="2133"/>
        <w:gridCol w:w="217"/>
        <w:gridCol w:w="217"/>
        <w:gridCol w:w="217"/>
        <w:gridCol w:w="217"/>
        <w:gridCol w:w="420"/>
        <w:gridCol w:w="2133"/>
        <w:gridCol w:w="217"/>
        <w:gridCol w:w="109"/>
        <w:gridCol w:w="109"/>
        <w:gridCol w:w="109"/>
        <w:gridCol w:w="159"/>
      </w:tblGrid>
      <w:tr>
        <w:trPr/>
        <w:tc>
          <w:tcPr>
            <w:tcW w:w="14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JACK HENRY &amp; ASSOCIATES, INC. AND SUBSIDIARIES</w:t>
            </w:r>
          </w:p>
        </w:tc>
        <w:tc>
          <w:tcPr>
            <w:tcW w:w="486" w:type="dxa"/>
            <w:gridSpan w:val="4"/>
            <w:tcBorders/>
          </w:tcPr>
          <w:p>
            <w:pPr>
              <w:pStyle w:val="TableContents"/>
              <w:bidi w:val="0"/>
              <w:spacing w:before="0" w:after="283"/>
              <w:jc w:val="left"/>
              <w:rPr>
                <w:sz w:val="4"/>
                <w:szCs w:val="4"/>
              </w:rPr>
            </w:pPr>
            <w:r>
              <w:rPr>
                <w:sz w:val="4"/>
                <w:szCs w:val="4"/>
              </w:rPr>
            </w:r>
          </w:p>
        </w:tc>
      </w:tr>
      <w:tr>
        <w:trPr/>
        <w:tc>
          <w:tcPr>
            <w:tcW w:w="97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CONDENSED CONSOLIDATED STATEMENTS OF CHANGES IN STOCKHOLDERS' EQUITY (Unaudited)</w:t>
            </w:r>
          </w:p>
        </w:tc>
        <w:tc>
          <w:tcPr>
            <w:tcW w:w="486" w:type="dxa"/>
            <w:gridSpan w:val="4"/>
            <w:tcBorders/>
          </w:tcPr>
          <w:p>
            <w:pPr>
              <w:pStyle w:val="TableContents"/>
              <w:bidi w:val="0"/>
              <w:spacing w:before="0" w:after="283"/>
              <w:jc w:val="left"/>
              <w:rPr>
                <w:sz w:val="4"/>
                <w:szCs w:val="4"/>
              </w:rPr>
            </w:pPr>
            <w:r>
              <w:rPr>
                <w:sz w:val="4"/>
                <w:szCs w:val="4"/>
              </w:rPr>
            </w:r>
          </w:p>
        </w:tc>
      </w:tr>
      <w:tr>
        <w:trPr/>
        <w:tc>
          <w:tcPr>
            <w:tcW w:w="97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Share and Per Share Data)</w:t>
            </w:r>
          </w:p>
        </w:tc>
        <w:tc>
          <w:tcPr>
            <w:tcW w:w="486" w:type="dxa"/>
            <w:gridSpan w:val="4"/>
            <w:tcBorders/>
          </w:tcPr>
          <w:p>
            <w:pPr>
              <w:pStyle w:val="TableContents"/>
              <w:bidi w:val="0"/>
              <w:spacing w:before="0" w:after="283"/>
              <w:jc w:val="left"/>
              <w:rPr>
                <w:sz w:val="4"/>
                <w:szCs w:val="4"/>
              </w:rPr>
            </w:pPr>
            <w:r>
              <w:rPr>
                <w:sz w:val="4"/>
                <w:szCs w:val="4"/>
              </w:rPr>
            </w:r>
          </w:p>
        </w:tc>
      </w:tr>
      <w:tr>
        <w:trPr/>
        <w:tc>
          <w:tcPr>
            <w:tcW w:w="3528" w:type="dxa"/>
            <w:gridSpan w:val="3"/>
            <w:tcBorders/>
            <w:vAlign w:val="center"/>
          </w:tcPr>
          <w:p>
            <w:pPr>
              <w:pStyle w:val="TableContents"/>
              <w:bidi w:val="0"/>
              <w:spacing w:before="0" w:after="283"/>
              <w:jc w:val="left"/>
              <w:rPr>
                <w:sz w:val="4"/>
                <w:szCs w:val="4"/>
              </w:rPr>
            </w:pPr>
            <w:r>
              <w:rPr>
                <w:sz w:val="4"/>
                <w:szCs w:val="4"/>
              </w:rPr>
            </w:r>
          </w:p>
        </w:tc>
        <w:tc>
          <w:tcPr>
            <w:tcW w:w="6677" w:type="dxa"/>
            <w:gridSpan w:val="13"/>
            <w:tcBorders/>
          </w:tcPr>
          <w:p>
            <w:pPr>
              <w:pStyle w:val="TableContents"/>
              <w:bidi w:val="0"/>
              <w:spacing w:before="0" w:after="283"/>
              <w:jc w:val="left"/>
              <w:rPr>
                <w:sz w:val="4"/>
                <w:szCs w:val="4"/>
              </w:rPr>
            </w:pPr>
            <w:r>
              <w:rPr>
                <w:sz w:val="4"/>
                <w:szCs w:val="4"/>
              </w:rPr>
            </w:r>
          </w:p>
        </w:tc>
      </w:tr>
      <w:tr>
        <w:trPr/>
        <w:tc>
          <w:tcPr>
            <w:tcW w:w="3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5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5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PREFERRED SHARES:</w:t>
            </w:r>
          </w:p>
        </w:tc>
        <w:tc>
          <w:tcPr>
            <w:tcW w:w="2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COMMON SHARES:</w:t>
            </w:r>
          </w:p>
        </w:tc>
        <w:tc>
          <w:tcPr>
            <w:tcW w:w="2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beginning of period</w:t>
            </w:r>
          </w:p>
        </w:tc>
        <w:tc>
          <w:tcPr>
            <w:tcW w:w="2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104,415,989</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104,245,089 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equity-based payment arrangements</w:t>
            </w:r>
          </w:p>
        </w:tc>
        <w:tc>
          <w:tcPr>
            <w:tcW w:w="2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72,784</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65,387 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Employee Stock Purchase Plan</w:t>
            </w:r>
          </w:p>
        </w:tc>
        <w:tc>
          <w:tcPr>
            <w:tcW w:w="2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24,084</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21,547 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end of period</w:t>
            </w:r>
          </w:p>
        </w:tc>
        <w:tc>
          <w:tcPr>
            <w:tcW w:w="2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104,512,857</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104,332,023 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COMMON STOCK - PAR VALUE $0.01 PER SHARE:</w:t>
            </w:r>
          </w:p>
        </w:tc>
        <w:tc>
          <w:tcPr>
            <w:tcW w:w="2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period</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1,044</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equity-based payment arrangements</w:t>
            </w:r>
          </w:p>
        </w:tc>
        <w:tc>
          <w:tcPr>
            <w:tcW w:w="2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vAlign w:val="center"/>
          </w:tcPr>
          <w:p>
            <w:pPr>
              <w:pStyle w:val="TableContents"/>
              <w:bidi w:val="0"/>
              <w:spacing w:before="0" w:after="283"/>
              <w:jc w:val="left"/>
              <w:rPr>
                <w:sz w:val="4"/>
                <w:szCs w:val="4"/>
              </w:rPr>
            </w:pPr>
            <w:r>
              <w:rPr>
                <w:sz w:val="4"/>
                <w:szCs w:val="4"/>
              </w:rPr>
            </w:r>
          </w:p>
        </w:tc>
        <w:tc>
          <w:tcPr>
            <w:tcW w:w="2770"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 of period</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1,045</w:t>
            </w: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ADDITIONAL PAID-IN CAPITAL:</w:t>
            </w:r>
          </w:p>
        </w:tc>
        <w:tc>
          <w:tcPr>
            <w:tcW w:w="2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period</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652,218</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619,805 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equity-based payment arrangements</w:t>
            </w:r>
          </w:p>
        </w:tc>
        <w:tc>
          <w:tcPr>
            <w:tcW w:w="2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related to share-based compensation</w:t>
            </w:r>
          </w:p>
        </w:tc>
        <w:tc>
          <w:tcPr>
            <w:tcW w:w="2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(6,706)</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(6,169)</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Employee Stock Purchase Plan</w:t>
            </w:r>
          </w:p>
        </w:tc>
        <w:tc>
          <w:tcPr>
            <w:tcW w:w="2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3,095</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6,317</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 of period</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654,923</w:t>
            </w: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623,381 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RETAINED EARNINGS:</w:t>
            </w:r>
          </w:p>
        </w:tc>
        <w:tc>
          <w:tcPr>
            <w:tcW w:w="2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period</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3,372,794</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3,081,690 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vAlign w:val="center"/>
          </w:tcPr>
          <w:p>
            <w:pPr>
              <w:pStyle w:val="TableContents"/>
              <w:bidi w:val="0"/>
              <w:spacing w:before="0" w:after="283"/>
              <w:jc w:val="left"/>
              <w:rPr>
                <w:sz w:val="4"/>
                <w:szCs w:val="4"/>
              </w:rPr>
            </w:pPr>
            <w:r>
              <w:rPr>
                <w:sz w:val="4"/>
                <w:szCs w:val="4"/>
              </w:rPr>
            </w:r>
          </w:p>
        </w:tc>
        <w:tc>
          <w:tcPr>
            <w:tcW w:w="2770"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2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143,986</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119,191 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w:t>
            </w:r>
          </w:p>
        </w:tc>
        <w:tc>
          <w:tcPr>
            <w:tcW w:w="2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(42,145)</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(40,104)</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 of period</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3,474,635</w:t>
            </w: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3,160,777 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TREASURY STOCK:</w:t>
            </w:r>
          </w:p>
        </w:tc>
        <w:tc>
          <w:tcPr>
            <w:tcW w:w="2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period</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(1,895,224)</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(1,860,173)</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shares</w:t>
            </w:r>
          </w:p>
        </w:tc>
        <w:tc>
          <w:tcPr>
            <w:tcW w:w="2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(62,045)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 of period</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(1,957,269)</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(1,860,173)</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2,173,334</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1,925,028 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declared per share</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0.58</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480" w:after="283"/>
        <w:jc w:val="left"/>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98"/>
        <w:gridCol w:w="1507"/>
        <w:gridCol w:w="1515"/>
        <w:gridCol w:w="416"/>
        <w:gridCol w:w="1693"/>
        <w:gridCol w:w="214"/>
        <w:gridCol w:w="214"/>
        <w:gridCol w:w="214"/>
        <w:gridCol w:w="214"/>
        <w:gridCol w:w="416"/>
        <w:gridCol w:w="1693"/>
        <w:gridCol w:w="311"/>
      </w:tblGrid>
      <w:tr>
        <w:trPr/>
        <w:tc>
          <w:tcPr>
            <w:tcW w:w="179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JACK HENRY &amp; ASSOCIATES,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CONDENSED CONSOLIDATED STATEMENTS OF CASH FLOWS (Unaudited)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4820" w:type="dxa"/>
            <w:gridSpan w:val="3"/>
            <w:tcBorders/>
            <w:vAlign w:val="center"/>
          </w:tcPr>
          <w:p>
            <w:pPr>
              <w:pStyle w:val="TableContents"/>
              <w:bidi w:val="0"/>
              <w:spacing w:before="0" w:after="283"/>
              <w:jc w:val="left"/>
              <w:rPr>
                <w:sz w:val="4"/>
                <w:szCs w:val="4"/>
              </w:rPr>
            </w:pPr>
            <w:r>
              <w:rPr>
                <w:sz w:val="4"/>
                <w:szCs w:val="4"/>
              </w:rPr>
            </w:r>
          </w:p>
        </w:tc>
        <w:tc>
          <w:tcPr>
            <w:tcW w:w="5385" w:type="dxa"/>
            <w:gridSpan w:val="9"/>
            <w:tcBorders/>
          </w:tcPr>
          <w:p>
            <w:pPr>
              <w:pStyle w:val="TableContents"/>
              <w:bidi w:val="0"/>
              <w:spacing w:before="0" w:after="283"/>
              <w:jc w:val="left"/>
              <w:rPr>
                <w:sz w:val="4"/>
                <w:szCs w:val="4"/>
              </w:rPr>
            </w:pPr>
            <w:r>
              <w:rPr>
                <w:sz w:val="4"/>
                <w:szCs w:val="4"/>
              </w:rPr>
            </w:r>
          </w:p>
        </w:tc>
      </w:tr>
      <w:tr>
        <w:trPr/>
        <w:tc>
          <w:tcPr>
            <w:tcW w:w="4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4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4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2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143,986</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119,191 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from operations</w:t>
              <w:br/>
              <w:t>     to net cash from operating activities:</w:t>
            </w:r>
          </w:p>
        </w:tc>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10,434</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41,458</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deferred income taxes</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38,987</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Expense for stock-based compensation</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6,317</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disposal of assets</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(3,807)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receivables  </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12,196</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26,373 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prepaid expenses, deferred costs and other</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(34,336)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(18,788)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accounts payable</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(6,637)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accrued expenses</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(36,567)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(23,067)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income taxes</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(9,150)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38,576 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deferred revenues</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(42,291)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(69,358)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from operating activities</w:t>
            </w:r>
          </w:p>
        </w:tc>
        <w:tc>
          <w:tcPr>
            <w:tcW w:w="2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120,590</w:t>
            </w: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116,896 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Payment for acquisitions</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(42,390)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vAlign w:val="center"/>
          </w:tcPr>
          <w:p>
            <w:pPr>
              <w:pStyle w:val="TableContents"/>
              <w:bidi w:val="0"/>
              <w:spacing w:before="0" w:after="283"/>
              <w:jc w:val="left"/>
              <w:rPr>
                <w:sz w:val="4"/>
                <w:szCs w:val="4"/>
              </w:rPr>
            </w:pPr>
            <w:r>
              <w:rPr>
                <w:sz w:val="4"/>
                <w:szCs w:val="4"/>
              </w:rPr>
            </w:r>
          </w:p>
        </w:tc>
        <w:tc>
          <w:tcPr>
            <w:tcW w:w="232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sale of assets</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7,479</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vAlign w:val="center"/>
          </w:tcPr>
          <w:p>
            <w:pPr>
              <w:pStyle w:val="TableContents"/>
              <w:bidi w:val="0"/>
              <w:spacing w:before="0" w:after="283"/>
              <w:jc w:val="left"/>
              <w:rPr>
                <w:sz w:val="4"/>
                <w:szCs w:val="4"/>
              </w:rPr>
            </w:pPr>
            <w:r>
              <w:rPr>
                <w:sz w:val="4"/>
                <w:szCs w:val="4"/>
              </w:rPr>
            </w:r>
          </w:p>
        </w:tc>
        <w:tc>
          <w:tcPr>
            <w:tcW w:w="232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Purchased software</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(1,509)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software developed</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(48,203)</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(42,259)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investments</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 of investments</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(6,000)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from investing activities</w:t>
            </w:r>
          </w:p>
        </w:tc>
        <w:tc>
          <w:tcPr>
            <w:tcW w:w="2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(98,503)</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(58,736)</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on credit facilities</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20,000</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on credit facilities</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(62,045)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(42,145)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(40,104)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stock issued for equity-based payment arrangements</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payments related to share-based compensation</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(6,706)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common stock</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3,094</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from financing activities</w:t>
            </w:r>
          </w:p>
        </w:tc>
        <w:tc>
          <w:tcPr>
            <w:tcW w:w="2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(87,801)</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(53,232)</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CHANGE IN CASH AND CASH EQUIVALENTS</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(65,714)</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BEGINNING OF PERIOD</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101,953</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38,284 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END OF PERIOD</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36,239</w:t>
            </w:r>
            <w:r>
              <w:rPr>
                <w:color w:val="000000"/>
              </w:rPr>
              <w:t>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43,212 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JACK HENRY &amp; ASSOCIATES,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NOTE 1.    NATURE OF OPERATIONS AND SUMMARY OF SIGNIFICANT ACCOUNTING POLICIES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Description of the Company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Jack Henry &amp; Associates, Inc. and subsidiaries (“Jack Henry,” or the “Company”) is a well-rounded financial technology company. Jack Henry was founded in 1976 as a provider of core information processing solutions for banks. Today, the Company’s extensive array of products and services includes processing transactions, automating business processes, and managing information for approximately 7,400 banks, credit unions, and diverse corporate entities. </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Consolidation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condensed consolidated financial statements include the accounts of Jack Henry and all of its subsidiaries, which are wholly owned, and all intercompany accounts and transactions have been eliminated.</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Comprehensive Income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Comprehensive income for the fiscal three months ended September 30, 2025 and 2024, equals the Company’s net income.</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Allowance for Credit Losses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 xml:space="preserve">The following table summarizes allowance for credit losses activity for the fiscal three months ended September 30, 2025 and 2024: </w:t>
      </w:r>
    </w:p>
    <w:tbl>
      <w:tblPr>
        <w:tblW w:w="7981" w:type="dxa"/>
        <w:jc w:val="left"/>
        <w:tblInd w:w="0" w:type="dxa"/>
        <w:tblLayout w:type="fixed"/>
        <w:tblCellMar>
          <w:top w:w="28" w:type="dxa"/>
          <w:left w:w="28" w:type="dxa"/>
          <w:bottom w:w="28" w:type="dxa"/>
          <w:right w:w="28" w:type="dxa"/>
        </w:tblCellMar>
      </w:tblPr>
      <w:tblGrid>
        <w:gridCol w:w="1538"/>
        <w:gridCol w:w="1349"/>
        <w:gridCol w:w="1358"/>
        <w:gridCol w:w="304"/>
        <w:gridCol w:w="931"/>
        <w:gridCol w:w="157"/>
        <w:gridCol w:w="157"/>
        <w:gridCol w:w="157"/>
        <w:gridCol w:w="157"/>
        <w:gridCol w:w="304"/>
        <w:gridCol w:w="931"/>
        <w:gridCol w:w="157"/>
        <w:gridCol w:w="109"/>
        <w:gridCol w:w="109"/>
        <w:gridCol w:w="109"/>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credit losses - beginning balance</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provision for expected credit losses</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Write-offs charged against allowance</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 ending balance</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6,804</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Property and Equipment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Property and equipment is recorded at cost and depreciated using the straight-line method over the estimated useful lives of the assets. Accumulated depreciation at September 30, 2025, totaled $499,855 and at June 30, 2025, totaled $499,928.</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During the fiscal three months ended September 30, 2025, the Company received an offer to purchase one of its facilities and management has committed to a plan to sell the facility. At September 30, 2025, the facility included assets with a carrying value of approximately $9,276. Additionally, held for sale assets at September 30, 2025, included one aircraft with a carrying value of approximately $2,070 that management has committed to sell. The Company expects to record gains on the sale of these assets. At June 30, 2025, held for sale assets included two aircraft with a carrying value of approximately $5,606. The sale of one aircraft was completed during the fiscal three months ended September 30, 2025. Total assets held for sale by the Company at September 30, 2025 and June 30, 2025, were $11,346 and $5,606, respectively, and were included in assets held for sale on the Company's consolidated balance sheets and were not included in property and equipment, net.</w:t>
      </w: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Intangible Assets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Intangible assets consist of goodwill, customer relationships, computer software, and trade names acquired in business acquisitions in addition to internally developed computer software. The amounts are amortized, with the exception of those intangible assets with an indefinite life (such as goodwill), over an estimated economic benefit period, generally 3 to 20 years. Accumulated amortization of intangible assets totaled $1,468,896 and $1,436,825 at September 30, 2025, and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Purchase of Investments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At September 30, 2025, and June 30, 2025, the Company had $25,750 in non-current investments. These investments were recorded at cost and are included within other non-current assets on the Company's consolidated balance sheets. There have been no events or changes in circumstances that would indicate an impairment and no price changes resulting from observing a similar or identical investment. An impairment and/or an observable price change would be an adjustment to recorded cost. Fair values will not be estimated unless there are identified events or changes in circumstances that may have a significant effect on the fair values of the investments.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Common Stock</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Board of Directors has authorized the Company to repurchase shares of its common stock. Under this authorization, the Company may finance its share repurchases with available cash reserves or borrowings on its existing credit facilities. The share repurchase program does not include specific price targets or timetables and may be suspended at any time. At September 30, 2025, there were 31,969 shares in treasury stock and the Company had the remaining authority to repurchase up to 3,022 additional shares. The total cost of treasury stock at September 30, 2025, was $1,957,269. During the first three months of fiscal 2026, the Company repurchased 389 shares. At June 30, 2025, there were 31,580 shares in treasury stock and the Company had the remaining authority to repurchase up to 3,411 additional shares. The total cost of treasury stock at June 30, 2025, was $1,895,224. During the first three months of fiscal 2025, the Company repurchased no shares.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Deferred tax liabilities and assets are recognized for the tax effects of differences between the financial statement and tax basis of assets and liabilities. A valuation allowance would be established to reduce deferred tax assets if it is more likely than not that a deferred tax asset will not be realized.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expenses are recognized on the full amount of unrecognized benefits for uncertain tax positions. The Company's policy is to include interest and penalties related to unrecognized tax benefits in income tax expense.</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Interim Financial Statements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accompanying condensed consolidated financial statements have been prepared in accordance with the instructions to Form 10-Q of the Securities and Exchange Commission (“SEC”) and in accordance with accounting principles generally accepted in the United States of America (“U.S. GAAP”) applicable to interim condensed consolidated financial statements, and do not include all of the information and footnotes required by accounting principles generally accepted in the United States of America for complete consolidated financial statements. The condensed consolidated financial statements should be read in conjunction with the Company’s audited consolidated financial statements and accompanying notes, which are included in its Annual Report on Form 10-K (“Form 10-K”) for the fiscal year ended June 30, 2025.</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the opinion of the management of the Company, the accompanying unaudited condensed consolidated financial statements reflect all adjustments necessary (consisting of normal recurring adjustments) to state fairly in all material respects the financial position of the Company as of September 30, 2025, the results of its operations for the fiscal three months ended September 30, 2025 and 2024, changes in stockholders' equity for the fiscal three months ended September 30, 2025 and 2024, and its cash flows for the fiscal three months ended September 30, 2025 and 2024. The condensed consolidated balance sheet at June 30, 2025, was derived from audited annual financial statements, but does not contain all of the footnote disclosures from the annual financial statements.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results of operations for the fiscal three months ended September 30, 2025, are not necessarily indicative of the results to be expected for the entire fiscal year.</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 xml:space="preserve">Use of Estimates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Significant Accounting Policies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accounting policies followed by the Company are set forth in Note 1 to the Company's consolidated financial statements included in its Form 10-K for the fiscal year ended June 30, 2025. For the fiscal three months ended September 30, 2025, there have been no new or material changes to the significant accounting policies discussed in the Company’s Form 10-K for the fiscal year ended June 30, 2025, that are of significance, or potential significance,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NOTE 2.     RECENT ACCOUNTING PRONOUNCEMENTS</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Recently Adopted Accounting Guidance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was effective for fiscal years beginning after December 15, 2023, and interim periods within fiscal years beginning after December 15, 2024, and should be applied retrospectively to all prior periods presented in the financial statements. The Company adopted this ASU effective for the fiscal year ended June 30, 2025, with retrospective application of the additional segment information for the fiscal years ended June 30, 2024, and 2023. Additional information regarding the Company's reportable segments, including the application of this ASU for the fiscal three months ended September 30, 2025, and 2024, is included in Note 11 to the consolidated financial statements.</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Not Yet Adopted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is currently evaluating the impact of this ASU on its consolidated financial statements and related disclosures.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November 2024, the FASB issued ASU No. 2024-03, Income Statement—Reporting Comprehensive Income—Expense Disaggregation Disclosures (Subtopic 220-40): Disaggregation of Income Statement Expenses, which requires more detailed disclosures of certain categories of expenses such as employee compensation, depreciation, and intangible asset amortization that are components of existing expense captions presented on the face of the consolidated statements of income. The ASU is effective for annual reporting periods beginning after December 15, 2026, and interim reporting periods within annual reporting periods beginning after December 15, 2027. Early adoption is permitted. The Company is currently evaluating the impact of this ASU on its consolidated financial statements and related disclosures.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September 2025, the FASB issued ASU No. 2025-06, Intangibles-Goodwill and Other-Internal-Use Software (Subtopic 350-40): Targeted Improvements to the Accounting for Internal-Use Software, which amends guidance related to the accounting for internal-use software development costs. The amendments are intended to modernize the recognition and capitalization framework to reflect current software development practices, including iterative and agile methodologies, by removing references to "development stages". It also clarifies the criteria for capitalization, which begins when both of the following occur: (1) management has authorized and committed to funding the software project and (2) it is probable that the project will be completed and the software will be used to perform the function intended. The ASU is effective for annual reporting periods beginning after December 15, 2027, and interim reporting periods within those annual reporting periods. Early adoption is permitted as of the beginning of an annual reporting period. The Company is currently evaluating the impact of this ASU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NOTE 3.    REVENUE AND DEFERRED COSTS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Revenue Recognition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generates revenue from data processing and hosting, transaction processing, software licensing and related services, professional services, and hardware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Disaggregation of Revenue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tables below present the Company's revenue disaggregated by type of revenue. Refer to Note 11, Reportable Segment Information, for disaggregated revenue by type and reportable segment. The majority of the Company’s revenue is earned domestically, with revenue from clients outside the United States comprising less than 1% of total revenue.</w:t>
      </w:r>
    </w:p>
    <w:tbl>
      <w:tblPr>
        <w:tblW w:w="6310" w:type="dxa"/>
        <w:jc w:val="left"/>
        <w:tblInd w:w="0" w:type="dxa"/>
        <w:tblLayout w:type="fixed"/>
        <w:tblCellMar>
          <w:top w:w="28" w:type="dxa"/>
          <w:left w:w="28" w:type="dxa"/>
          <w:bottom w:w="28" w:type="dxa"/>
          <w:right w:w="28" w:type="dxa"/>
        </w:tblCellMar>
      </w:tblPr>
      <w:tblGrid>
        <w:gridCol w:w="933"/>
        <w:gridCol w:w="821"/>
        <w:gridCol w:w="825"/>
        <w:gridCol w:w="260"/>
        <w:gridCol w:w="1039"/>
        <w:gridCol w:w="134"/>
        <w:gridCol w:w="134"/>
        <w:gridCol w:w="134"/>
        <w:gridCol w:w="134"/>
        <w:gridCol w:w="260"/>
        <w:gridCol w:w="1021"/>
        <w:gridCol w:w="134"/>
        <w:gridCol w:w="109"/>
        <w:gridCol w:w="109"/>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2025</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and Public Cloud</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195,609 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182,260 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Delivery and Services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On-Premise Support</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Services and Support</w:t>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376,851</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356,679 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Processing</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267,887</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644,738</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600,982 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Contract Balances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table provides information about contract assets and contract liabilities from contracts with clients.</w:t>
      </w:r>
    </w:p>
    <w:tbl>
      <w:tblPr>
        <w:tblW w:w="7637" w:type="dxa"/>
        <w:jc w:val="left"/>
        <w:tblInd w:w="0" w:type="dxa"/>
        <w:tblLayout w:type="fixed"/>
        <w:tblCellMar>
          <w:top w:w="28" w:type="dxa"/>
          <w:left w:w="28" w:type="dxa"/>
          <w:bottom w:w="28" w:type="dxa"/>
          <w:right w:w="28" w:type="dxa"/>
        </w:tblCellMar>
      </w:tblPr>
      <w:tblGrid>
        <w:gridCol w:w="1684"/>
        <w:gridCol w:w="1481"/>
        <w:gridCol w:w="1485"/>
        <w:gridCol w:w="258"/>
        <w:gridCol w:w="1048"/>
        <w:gridCol w:w="133"/>
        <w:gridCol w:w="109"/>
        <w:gridCol w:w="109"/>
        <w:gridCol w:w="109"/>
        <w:gridCol w:w="211"/>
        <w:gridCol w:w="85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br/>
              <w:t>2025</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307,647</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 - Current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36,383</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 - Non-current</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118,372</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 (Deferred Revenue) - Current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245,466</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 (Deferred Revenue) - Non-current</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75,616</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Contract assets primarily result from client discounts (contract incentives) where revenue is recognized and payment of consideration under the contract is contingent upon the transfer of services to a client over the contractual period. The current portion of contract assets is reported within prepaid expenses and other in the consolidated balance sheets, and the non-current portion is included in other non-current assets. Contract liabilities (deferred revenue) primarily relate to consideration received from clients in advance of delivery of the related goods and services to the client. Contract balances are reported in a net contract asset or liability position on a contract-by-contract basis at the end of each reporting period.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For the fiscal three months ended September 30, 2025, and 2024, the Company recognized revenue of $89,398 and $94,159, respectively, that was included in the corresponding deferred revenue balance at the beginning of the periods.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Transaction Price Allocated to Remaining Performance Obligations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As of September 30, 2025, estimated revenue expected to be recognized in the future related to performance obligations that are unsatisfied (or partially unsatisfied) at the end of the reporting period totaled $7,984,885. The Company expects to recognize approximately 23% over the next 12 months, 19% in 13-24 months, and the balance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Contract Costs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incurs incremental costs to obtain a contract as well as costs to fulfill contracts with clients that are expected to be recovered. These costs consist primarily of sales commissions, which are incurred only if a contract is obtained, and client conversion or implementation-related costs. Capitalized costs to obtain contracts with clients are included within prepaid expenses and other (current portion) and other non-current assets (non-current portion) in the Company's condensed consolidated balance sheets. Capitalized costs to fulfill contracts with clients are included within deferred costs (current portion) and non-current deferred costs (non-current portion) in the Company's condensed consolidated balance sheets. Capitalized costs are amortized based on the transfer of goods or services to which the asset relates, in line with the percentage of revenue recognized for each performance obligation to which the costs are allocated. Capitalized costs as of September 30, 2025, and June 30, 2025, were as follows:</w:t>
      </w:r>
    </w:p>
    <w:tbl>
      <w:tblPr>
        <w:tblW w:w="7396" w:type="dxa"/>
        <w:jc w:val="left"/>
        <w:tblInd w:w="0" w:type="dxa"/>
        <w:tblLayout w:type="fixed"/>
        <w:tblCellMar>
          <w:top w:w="28" w:type="dxa"/>
          <w:left w:w="28" w:type="dxa"/>
          <w:bottom w:w="28" w:type="dxa"/>
          <w:right w:w="28" w:type="dxa"/>
        </w:tblCellMar>
      </w:tblPr>
      <w:tblGrid>
        <w:gridCol w:w="1595"/>
        <w:gridCol w:w="1403"/>
        <w:gridCol w:w="1411"/>
        <w:gridCol w:w="258"/>
        <w:gridCol w:w="1048"/>
        <w:gridCol w:w="133"/>
        <w:gridCol w:w="109"/>
        <w:gridCol w:w="109"/>
        <w:gridCol w:w="109"/>
        <w:gridCol w:w="211"/>
        <w:gridCol w:w="856"/>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br/>
              <w:t>2025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Capitalized costs to obtain contracts with clients</w:t>
            </w:r>
            <w:r>
              <w:rPr>
                <w:rFonts w:ascii="Arial;sans-serif" w:hAnsi="Arial;sans-serif"/>
                <w:b w:val="false"/>
                <w:color w:val="000000"/>
                <w:sz w:val="13"/>
              </w:rPr>
              <w:t>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267,051</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Capitalized costs to fulfill contracts with clients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287,525</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current and non-current capitalized costs of $82,626 and $184,425 at September 30, 2025, respectively, and $82,441 and $185,285 at June 30, 2025, respectively.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For the fiscal three months ended September 30, 2025, and 2024, amortization of deferred contract costs totaled $47,182 and $54,907, respectively. There were no impairment losses in relation to capitalized costs for the periods presented.</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NOTE 4.    FAIR VALUE OF FINANCIAL INSTRUMENTS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For cash equivalents, certificates of deposit, amounts receivable or payable, and short-term borrowings, fair values approximate carrying value, based on the short-term nature of the assets and liabilities.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Level 1: inputs to the valuation are quoted prices in an active market for identical assets.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Level 2: inputs to the valuation include quoted prices for similar assets in active markets that are observable either directly or indirectly.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Level 3: valuation is based on significant inputs that are unobservable in the market and the Company's own estimates of assumptions that we believe market participants would use in pricing the asset.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Fair values of financial assets and liabilities are as follows:</w:t>
      </w:r>
    </w:p>
    <w:tbl>
      <w:tblPr>
        <w:tblW w:w="7330" w:type="dxa"/>
        <w:jc w:val="left"/>
        <w:tblInd w:w="0" w:type="dxa"/>
        <w:tblLayout w:type="fixed"/>
        <w:tblCellMar>
          <w:top w:w="28" w:type="dxa"/>
          <w:left w:w="28" w:type="dxa"/>
          <w:bottom w:w="28" w:type="dxa"/>
          <w:right w:w="28" w:type="dxa"/>
        </w:tblCellMar>
      </w:tblPr>
      <w:tblGrid>
        <w:gridCol w:w="766"/>
        <w:gridCol w:w="672"/>
        <w:gridCol w:w="676"/>
        <w:gridCol w:w="109"/>
        <w:gridCol w:w="109"/>
        <w:gridCol w:w="109"/>
        <w:gridCol w:w="229"/>
        <w:gridCol w:w="441"/>
        <w:gridCol w:w="118"/>
        <w:gridCol w:w="118"/>
        <w:gridCol w:w="118"/>
        <w:gridCol w:w="118"/>
        <w:gridCol w:w="229"/>
        <w:gridCol w:w="815"/>
        <w:gridCol w:w="118"/>
        <w:gridCol w:w="118"/>
        <w:gridCol w:w="118"/>
        <w:gridCol w:w="118"/>
        <w:gridCol w:w="229"/>
        <w:gridCol w:w="441"/>
        <w:gridCol w:w="118"/>
        <w:gridCol w:w="109"/>
        <w:gridCol w:w="109"/>
        <w:gridCol w:w="109"/>
        <w:gridCol w:w="211"/>
        <w:gridCol w:w="751"/>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Estimated 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 Fair</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Value</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9,607</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20,000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160" w:after="120"/>
        <w:jc w:val="left"/>
        <w:rPr>
          <w:rFonts w:ascii="Arial;sans-serif" w:hAnsi="Arial;sans-serif"/>
          <w:b w:val="false"/>
          <w:color w:val="000000"/>
          <w:sz w:val="20"/>
        </w:rPr>
      </w:pPr>
      <w:r>
        <w:rPr>
          <w:rFonts w:ascii="Arial;sans-serif" w:hAnsi="Arial;sans-serif"/>
          <w:b w:val="false"/>
          <w:color w:val="000000"/>
          <w:sz w:val="20"/>
        </w:rPr>
        <w:t>NOTE 5.    LEASES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determines if an arrangement is a lease, or contains a lease, at inception. The lease term begins on the commencement date, which is the date the Company takes possession of the property and may include options to extend or terminate the lease when it is reasonably certain that the option will be exercised. Right-of-use (“ROU”) assets represent the Company’s right to use an underlying asset for the lease term and lease liabilities represent the Company’s obligation to make lease payments arising from the lease.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Since the Company’s leases do not typically provide an implicit rate, the Company uses its incremental borrowing rate based upon the information available at commencement date. The determination of the incremental borrowing rate requires judgment and is determined by using the Company’s current unsecured borrowing rate, adjusted for various factors such as collateralization and term to align with the terms of the lease.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leases certain office space, data centers, and equipment with remaining terms of 6 months to 8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Variable lease costs are recognized as a variable lease expense when incurred.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At September 30, 2025, and June 30, 2025, the Company had operating lease assets of $42,423 and $44,761, respectively. At September 30, 2025, total operating lease liabilities of $48,886 were comprised of current operating lease liabilities of $9,372 and noncurrent operating lease liabilities of $39,514. At June 30, 2025, total operating lease liabilities of $51,187 were comprised of current operating lease liabilities of $9,397 and noncurrent operating lease liabilities of $41,790.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Operating lease assets are included within other non-current assets, and operating lease liabilities are included within accrued expenses (current portion) and other long-term liabilities (noncurrent portion) in the Company’s condensed consolidated balance sheets. Operating lease assets were recorded net of accumulated amortization of $43,581 and $41,229 as of September 30, 2025, and June 30, 2025, respectively.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Operating lease costs for the fiscal three months ended September 30, 2025, and 2024, were $2,769 and $2,893, respectively. Total operating lease costs for the respective quarters included variable lease costs of $798 and $554, respectively. Operating lease expense is included within cost of services, research and development, and selling, general and administrative expense, dependent upon the nature and use of the ROU asset, in the Company’s condensed consolidated statements of income.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For the fiscal three months ended September 30, 2025, and 2024, the Company had operating cash flows for payments on operating leases of $2,731 and $2,505, and ROU assets obtained in exchange for operating lease liabilities of $0 and $7, respectively.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As of September 30, 2025, and June 30, 2025, the weighted-average remaining lease term for the Company's operating leases was 67 months and 69 months, respectively, and the weighted-average discount rate was 2.71% at both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100" w:after="200"/>
        <w:jc w:val="both"/>
        <w:rPr>
          <w:rFonts w:ascii="Arial;sans-serif" w:hAnsi="Arial;sans-serif"/>
          <w:b/>
          <w:color w:val="000000"/>
          <w:sz w:val="20"/>
        </w:rPr>
      </w:pPr>
      <w:r>
        <w:rPr>
          <w:rFonts w:ascii="Arial;sans-serif" w:hAnsi="Arial;sans-serif"/>
          <w:b/>
          <w:color w:val="000000"/>
          <w:sz w:val="20"/>
        </w:rPr>
        <w:t>Maturity of Lease Liabilities under ASC 842</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Future minimum rental payments on operating leases with initial non-cancellable lease terms in excess of one year were due as follows at September 30, 2025:</w:t>
      </w:r>
    </w:p>
    <w:tbl>
      <w:tblPr>
        <w:tblW w:w="6327" w:type="dxa"/>
        <w:jc w:val="left"/>
        <w:tblInd w:w="0" w:type="dxa"/>
        <w:tblLayout w:type="fixed"/>
        <w:tblCellMar>
          <w:top w:w="28" w:type="dxa"/>
          <w:left w:w="28" w:type="dxa"/>
          <w:bottom w:w="28" w:type="dxa"/>
          <w:right w:w="28" w:type="dxa"/>
        </w:tblCellMar>
      </w:tblPr>
      <w:tblGrid>
        <w:gridCol w:w="1044"/>
        <w:gridCol w:w="913"/>
        <w:gridCol w:w="923"/>
        <w:gridCol w:w="109"/>
        <w:gridCol w:w="109"/>
        <w:gridCol w:w="109"/>
        <w:gridCol w:w="590"/>
        <w:gridCol w:w="2100"/>
        <w:gridCol w:w="430"/>
      </w:tblGrid>
      <w:tr>
        <w:trPr/>
        <w:tc>
          <w:tcPr>
            <w:tcW w:w="104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Due Dates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Future Minimum Rental Payments</w:t>
            </w:r>
          </w:p>
        </w:tc>
      </w:tr>
      <w:tr>
        <w:trPr/>
        <w:tc>
          <w:tcPr>
            <w:tcW w:w="2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2026 (remaining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8,315 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10,106 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7,548 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6,525 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54,090 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(5,204)</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48,886 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Future lease payments include $5,464 related to options to extend lease terms that are reasonably certain of being exercised. At September 30, 2025, there were $2,070 of legally binding lease payments for leases signed but not yet commenced.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may sublease its facilities from time to time to third parties. Sublease income is recognized on a straight-line basis over the lease term, and is included within revenue on the Company's condensed consolidated statements of income. Sublease income was immaterial for the fiscal three months ended September 30, 2025, and 2024, and the Company expects sublease income to remain immaterial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jc w:val="left"/>
        <w:rPr>
          <w:rFonts w:ascii="Arial;sans-serif" w:hAnsi="Arial;sans-serif"/>
          <w:b w:val="false"/>
          <w:color w:val="000000"/>
          <w:sz w:val="20"/>
        </w:rPr>
      </w:pPr>
      <w:r>
        <w:rPr>
          <w:rFonts w:ascii="Arial;sans-serif" w:hAnsi="Arial;sans-serif"/>
          <w:b w:val="false"/>
          <w:color w:val="000000"/>
          <w:sz w:val="20"/>
        </w:rPr>
        <w:t>NOTE 6.    DEBT</w:t>
      </w:r>
    </w:p>
    <w:p>
      <w:pPr>
        <w:pStyle w:val="TextBody"/>
        <w:bidi w:val="0"/>
        <w:spacing w:lineRule="auto" w:line="288" w:before="240" w:after="100"/>
        <w:jc w:val="both"/>
        <w:rPr>
          <w:rFonts w:ascii="Arial;sans-serif" w:hAnsi="Arial;sans-serif"/>
          <w:b w:val="false"/>
          <w:i/>
          <w:color w:val="000000"/>
          <w:sz w:val="20"/>
        </w:rPr>
      </w:pPr>
      <w:r>
        <w:rPr>
          <w:rFonts w:ascii="Arial;sans-serif" w:hAnsi="Arial;sans-serif"/>
          <w:b w:val="false"/>
          <w:i/>
          <w:color w:val="000000"/>
          <w:sz w:val="20"/>
        </w:rPr>
        <w:t>Credit facilities</w:t>
      </w:r>
    </w:p>
    <w:p>
      <w:pPr>
        <w:pStyle w:val="TextBody"/>
        <w:bidi w:val="0"/>
        <w:spacing w:lineRule="auto" w:line="288" w:before="0" w:after="0"/>
        <w:jc w:val="both"/>
        <w:rPr/>
      </w:pPr>
      <w:r>
        <w:rPr>
          <w:rFonts w:ascii="Arial;sans-serif" w:hAnsi="Arial;sans-serif"/>
          <w:b w:val="false"/>
          <w:color w:val="000000"/>
          <w:sz w:val="20"/>
        </w:rPr>
        <w:t xml:space="preserve">On August 31, 2022, the Company entered into a five-year senior, unsecured amended and restated credit agreement.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sans-serif" w:hAnsi="Arial;sans-serif"/>
          <w:b w:val="false"/>
          <w:i/>
          <w:color w:val="000000"/>
          <w:sz w:val="20"/>
        </w:rPr>
        <w:t xml:space="preserve">plus </w:t>
      </w:r>
      <w:r>
        <w:rPr>
          <w:rFonts w:ascii="Arial;sans-serif" w:hAnsi="Arial;sans-serif"/>
          <w:b w:val="false"/>
          <w:color w:val="000000"/>
          <w:sz w:val="20"/>
        </w:rPr>
        <w:t xml:space="preserve">0.50% per annum and (iv) the Adjusted Term SOFR Screen Rate (without giving effect to the Applicable Margin) for a one month Interest Period on such day for Dollars </w:t>
      </w:r>
      <w:r>
        <w:rPr>
          <w:rFonts w:ascii="Arial;sans-serif" w:hAnsi="Arial;sans-serif"/>
          <w:b w:val="false"/>
          <w:i/>
          <w:color w:val="000000"/>
          <w:sz w:val="20"/>
        </w:rPr>
        <w:t xml:space="preserve">plus </w:t>
      </w:r>
      <w:r>
        <w:rPr>
          <w:rFonts w:ascii="Arial;sans-serif" w:hAnsi="Arial;sans-serif"/>
          <w:b w:val="false"/>
          <w:color w:val="000000"/>
          <w:sz w:val="20"/>
        </w:rPr>
        <w:t xml:space="preserve">1.0%), </w:t>
      </w:r>
      <w:r>
        <w:rPr>
          <w:rFonts w:ascii="Arial;sans-serif" w:hAnsi="Arial;sans-serif"/>
          <w:b w:val="false"/>
          <w:i/>
          <w:color w:val="000000"/>
          <w:sz w:val="20"/>
        </w:rPr>
        <w:t>plus</w:t>
      </w:r>
      <w:r>
        <w:rPr>
          <w:color w:val="000000"/>
        </w:rPr>
        <w:t xml:space="preserve"> </w:t>
      </w:r>
      <w:r>
        <w:rPr>
          <w:rFonts w:ascii="Arial;sans-serif" w:hAnsi="Arial;sans-serif"/>
          <w:b w:val="false"/>
          <w:color w:val="000000"/>
          <w:sz w:val="20"/>
        </w:rPr>
        <w:t>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September 30, 2025, the Company was in compliance with all such covenants. The credit facility terminates August 31, 2027. There was $20,000 and $0</w:t>
      </w:r>
      <w:r>
        <w:rPr>
          <w:color w:val="000000"/>
        </w:rPr>
        <w:t xml:space="preserve"> </w:t>
      </w:r>
      <w:r>
        <w:rPr>
          <w:rFonts w:ascii="Arial;sans-serif" w:hAnsi="Arial;sans-serif"/>
          <w:b w:val="false"/>
          <w:color w:val="000000"/>
          <w:sz w:val="20"/>
        </w:rPr>
        <w:t>outstanding under the credit facility at September 30, 2025 and June 30, 2025, respectively.</w:t>
      </w:r>
    </w:p>
    <w:p>
      <w:pPr>
        <w:pStyle w:val="TextBody"/>
        <w:bidi w:val="0"/>
        <w:spacing w:lineRule="auto" w:line="268" w:before="100" w:after="100"/>
        <w:jc w:val="both"/>
        <w:rPr>
          <w:rFonts w:ascii="Arial;sans-serif" w:hAnsi="Arial;sans-serif"/>
          <w:b w:val="false"/>
          <w:i/>
          <w:color w:val="000000"/>
          <w:sz w:val="20"/>
        </w:rPr>
      </w:pPr>
      <w:r>
        <w:rPr>
          <w:rFonts w:ascii="Arial;sans-serif" w:hAnsi="Arial;sans-serif"/>
          <w:b w:val="false"/>
          <w:i/>
          <w:color w:val="000000"/>
          <w:sz w:val="20"/>
        </w:rPr>
        <w:t>Other lines of credit</w:t>
      </w:r>
    </w:p>
    <w:p>
      <w:pPr>
        <w:pStyle w:val="TextBody"/>
        <w:bidi w:val="0"/>
        <w:spacing w:lineRule="auto" w:line="288" w:before="0" w:after="100"/>
        <w:jc w:val="both"/>
        <w:rPr/>
      </w:pPr>
      <w:r>
        <w:rPr>
          <w:rFonts w:ascii="Arial;sans-serif" w:hAnsi="Arial;sans-serif"/>
          <w:b w:val="false"/>
          <w:color w:val="000000"/>
          <w:sz w:val="20"/>
        </w:rPr>
        <w:t>On October 31, 2024, the Company entered into a discretionary line of credit demand note, which provides for funding of up to $50,000 and bears interest at the prime rate</w:t>
      </w:r>
      <w:r>
        <w:rPr>
          <w:color w:val="000000"/>
        </w:rPr>
        <w:t xml:space="preserve"> </w:t>
      </w:r>
      <w:r>
        <w:rPr>
          <w:rFonts w:ascii="Arial;sans-serif" w:hAnsi="Arial;sans-serif"/>
          <w:b w:val="false"/>
          <w:i/>
          <w:color w:val="000000"/>
          <w:sz w:val="20"/>
        </w:rPr>
        <w:t>less</w:t>
      </w:r>
      <w:r>
        <w:rPr>
          <w:color w:val="000000"/>
        </w:rPr>
        <w:t xml:space="preserve"> </w:t>
      </w:r>
      <w:r>
        <w:rPr>
          <w:rFonts w:ascii="Arial;sans-serif" w:hAnsi="Arial;sans-serif"/>
          <w:b w:val="false"/>
          <w:color w:val="000000"/>
          <w:sz w:val="20"/>
        </w:rPr>
        <w:t>2.0%. The note does not constitute a committed line of credit. The line of credit expired on October 31, 2025. There was no balance outstanding at September 30, 2025, or June 30, 2025.</w:t>
      </w:r>
    </w:p>
    <w:p>
      <w:pPr>
        <w:pStyle w:val="TextBody"/>
        <w:bidi w:val="0"/>
        <w:spacing w:lineRule="auto" w:line="288" w:before="100" w:after="100"/>
        <w:jc w:val="both"/>
        <w:rPr/>
      </w:pPr>
      <w:r>
        <w:rPr>
          <w:rFonts w:ascii="Arial;sans-serif" w:hAnsi="Arial;sans-serif"/>
          <w:b w:val="false"/>
          <w:color w:val="000000"/>
          <w:sz w:val="20"/>
        </w:rPr>
        <w:t xml:space="preserve">On July 18, 2025, the Company entered into an unsecured committed revolving line of credit facility with a commercial bank in the amount of $50,000, which bears interest at the prime rate </w:t>
      </w:r>
      <w:r>
        <w:rPr>
          <w:rFonts w:ascii="Arial;sans-serif" w:hAnsi="Arial;sans-serif"/>
          <w:b w:val="false"/>
          <w:i/>
          <w:color w:val="000000"/>
          <w:sz w:val="20"/>
        </w:rPr>
        <w:t>less</w:t>
      </w:r>
      <w:r>
        <w:rPr>
          <w:color w:val="000000"/>
        </w:rPr>
        <w:t xml:space="preserve"> </w:t>
      </w:r>
      <w:r>
        <w:rPr>
          <w:rFonts w:ascii="Arial;sans-serif" w:hAnsi="Arial;sans-serif"/>
          <w:b w:val="false"/>
          <w:color w:val="000000"/>
          <w:sz w:val="20"/>
        </w:rPr>
        <w:t xml:space="preserve">1.0%. The line of credit expires on July 17, 2026. There was no balance outstanding at September 30, 2025. </w:t>
      </w:r>
    </w:p>
    <w:p>
      <w:pPr>
        <w:pStyle w:val="TextBody"/>
        <w:bidi w:val="0"/>
        <w:spacing w:lineRule="auto" w:line="288" w:before="0" w:after="100"/>
        <w:jc w:val="both"/>
        <w:rPr>
          <w:rFonts w:ascii="Arial;sans-serif" w:hAnsi="Arial;sans-serif"/>
          <w:b w:val="false"/>
          <w:i/>
          <w:color w:val="000000"/>
          <w:sz w:val="20"/>
        </w:rPr>
      </w:pPr>
      <w:r>
        <w:rPr>
          <w:rFonts w:ascii="Arial;sans-serif" w:hAnsi="Arial;sans-serif"/>
          <w:b w:val="false"/>
          <w:i/>
          <w:color w:val="000000"/>
          <w:sz w:val="20"/>
        </w:rPr>
        <w:t>Interest</w:t>
      </w:r>
    </w:p>
    <w:p>
      <w:pPr>
        <w:pStyle w:val="TextBody"/>
        <w:bidi w:val="0"/>
        <w:spacing w:lineRule="auto" w:line="288" w:before="0" w:after="100"/>
        <w:jc w:val="both"/>
        <w:rPr>
          <w:rFonts w:ascii="Arial;sans-serif" w:hAnsi="Arial;sans-serif"/>
          <w:b w:val="false"/>
          <w:color w:val="000000"/>
          <w:sz w:val="20"/>
        </w:rPr>
      </w:pPr>
      <w:r>
        <w:rPr>
          <w:rFonts w:ascii="Arial;sans-serif" w:hAnsi="Arial;sans-serif"/>
          <w:b w:val="false"/>
          <w:color w:val="000000"/>
          <w:sz w:val="20"/>
        </w:rPr>
        <w:t>The Company paid interest of $979 and $1,588 during the fiscal three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NOTE 7.    INCOME TAXES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effective tax rate increased for the fiscal three months ended September 30, 2025, compared to the fiscal three months ended September 30, 2024, with an effective tax rate of 24.3% of income before income taxes, compared to 24.0% in the prior fiscal year quarter. The increase to the Company's effective tax rate was primarily due to differences in tax impacts of stock-based compensation between the two periods.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 paid income taxes, net of refunds, of $16,316 and $3,006 in the fiscal three months ended September 30, 2025, and 2024, respectively.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On July 4, 2025, the One Big Beautiful Bill Act (“OBBBA”) was enacted, introducing significant changes to U.S. federal income tax law. Key provisions affecting the Company include the permanent restoration of immediate expensing for domestic research and development (“R&amp;D”), an election to deduct the unamortized balance of domestic R&amp;D expenditures that were previously capitalized under the Tax Cuts and Jobs Act of 2017 ("TCJA"), and the reinstatement of 100% bonus depreciation for qualified property placed in service after January 19, 2025. The legislation did not materially impact the effective tax rate in the current period, and the Company does not anticipate a material impact in future periods. However, the Company does anticipate a significant reduction in cash tax payments and income taxes payable for the current fiscal year as well as a decrease in deferred tax assets related to the key provisions cited above.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All tax effects of the change in tax law on current or deferred tax balances have been recorded as a component of the income tax provision related to continuing operations. The Company will continue to monitor developments related to OBBBA and evaluate the financial reporting implications of any elections or method changes made under the new guidance.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At September 30, 2025, the Company had $22,781 of gross unrecognized tax benefits before interest and penalties, $20,493 of which, if recognized, would affect our effective tax rate. The Company had accrued interest and penalties of $4,786 related to uncertain tax positions at September 30, 2025. We do not expect a material change to our unrecognized tax benefits during the next twelve months.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U.S. federal and state income tax returns for fiscal 2022 and all subsequent years remain subject to examination as of September 30, 2025, under statute of limitations rules. In addition, certain U.S. state income tax returns remain subject to examination as of September 30, 2025, under the statute of limitation rules for fiscal 2016 through 2022. During the fiscal three months ended September 30, 2025, the Internal Revenue Service ("IRS") initiated and is currently conducting an examination of the Company's U.S. federal income tax return for the fiscal 2023 tax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NOTE 8.    STOCK-BASED COMPENSATION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Our operating income for the fiscal three months ended September 30, 2025, and 2024, included $6,317 and $6,705 of stock-based compensation costs, respectively.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 November 10, 2015, the Company adopted the 2015 Equity Incentive Plan (“2015 EIP”) for its associates and non-employee directors. The plan allows for grants of stock options, stock appreciation rights, restricted stock shares or units, and performance shares or units. The maximum number of shares authorized for issuance under the plan is 3,000.</w:t>
      </w:r>
    </w:p>
    <w:p>
      <w:pPr>
        <w:pStyle w:val="TextBody"/>
        <w:bidi w:val="0"/>
        <w:spacing w:lineRule="auto" w:line="288" w:before="100" w:after="100"/>
        <w:jc w:val="both"/>
        <w:rPr>
          <w:rFonts w:ascii="Arial;sans-serif" w:hAnsi="Arial;sans-serif"/>
          <w:b w:val="false"/>
          <w:i/>
          <w:color w:val="000000"/>
          <w:sz w:val="20"/>
        </w:rPr>
      </w:pPr>
      <w:r>
        <w:rPr>
          <w:rFonts w:ascii="Arial;sans-serif" w:hAnsi="Arial;sans-serif"/>
          <w:b w:val="false"/>
          <w:i/>
          <w:color w:val="000000"/>
          <w:sz w:val="20"/>
        </w:rPr>
        <w:t>Restricted stock unit and performance unit awards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issues unit awards under the 2015 EIP. Restricted stock unit awards (which are unit awards that have service requirements only and are not tied to performance measures) generally vest over a period of 1 to 3 years. Performance unit awards are awards that have performance measures in addition to service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table summarizes non-vested restricted stock unit awards and performance unit awards as of September 30, 2025:</w:t>
      </w:r>
    </w:p>
    <w:tbl>
      <w:tblPr>
        <w:tblW w:w="10205" w:type="dxa"/>
        <w:jc w:val="left"/>
        <w:tblInd w:w="0" w:type="dxa"/>
        <w:tblLayout w:type="fixed"/>
        <w:tblCellMar>
          <w:top w:w="28" w:type="dxa"/>
          <w:left w:w="28" w:type="dxa"/>
          <w:bottom w:w="28" w:type="dxa"/>
          <w:right w:w="28" w:type="dxa"/>
        </w:tblCellMar>
      </w:tblPr>
      <w:tblGrid>
        <w:gridCol w:w="978"/>
        <w:gridCol w:w="837"/>
        <w:gridCol w:w="833"/>
        <w:gridCol w:w="109"/>
        <w:gridCol w:w="109"/>
        <w:gridCol w:w="109"/>
        <w:gridCol w:w="261"/>
        <w:gridCol w:w="263"/>
        <w:gridCol w:w="196"/>
        <w:gridCol w:w="109"/>
        <w:gridCol w:w="109"/>
        <w:gridCol w:w="109"/>
        <w:gridCol w:w="730"/>
        <w:gridCol w:w="2602"/>
        <w:gridCol w:w="377"/>
        <w:gridCol w:w="109"/>
        <w:gridCol w:w="109"/>
        <w:gridCol w:w="109"/>
        <w:gridCol w:w="405"/>
        <w:gridCol w:w="1443"/>
        <w:gridCol w:w="299"/>
      </w:tblGrid>
      <w:tr>
        <w:trPr/>
        <w:tc>
          <w:tcPr>
            <w:tcW w:w="97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Unit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Weighted Average Grant Date Fair Value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Aggregate Intrinsic Value</w:t>
            </w:r>
          </w:p>
        </w:tc>
      </w:tr>
      <w:tr>
        <w:trPr/>
        <w:tc>
          <w:tcPr>
            <w:tcW w:w="2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July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183.88 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Granted</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168.59 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190.99 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Forfeited</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230.09 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363</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171.46</w:t>
            </w: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54,084</w:t>
            </w: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Arial;sans-serif" w:hAnsi="Arial;sans-serif"/>
          <w:b w:val="false"/>
          <w:color w:val="000000"/>
          <w:sz w:val="10"/>
        </w:rPr>
        <w:t>1</w:t>
      </w:r>
      <w:r>
        <w:rPr>
          <w:rFonts w:ascii="Arial;sans-serif" w:hAnsi="Arial;sans-serif"/>
          <w:b w:val="false"/>
          <w:color w:val="000000"/>
          <w:sz w:val="16"/>
        </w:rPr>
        <w:t>Granted includes restricted stock unit awards and performance unit awards with market conditions at 100% achievement.</w:t>
      </w:r>
    </w:p>
    <w:p>
      <w:pPr>
        <w:pStyle w:val="TextBody"/>
        <w:bidi w:val="0"/>
        <w:spacing w:lineRule="auto" w:line="288" w:before="0" w:after="0"/>
        <w:jc w:val="both"/>
        <w:rPr/>
      </w:pPr>
      <w:r>
        <w:rPr>
          <w:rFonts w:ascii="Arial;sans-serif" w:hAnsi="Arial;sans-serif"/>
          <w:b w:val="false"/>
          <w:color w:val="000000"/>
          <w:sz w:val="10"/>
        </w:rPr>
        <w:t>2</w:t>
      </w:r>
      <w:r>
        <w:rPr>
          <w:rFonts w:ascii="Arial;sans-serif" w:hAnsi="Arial;sans-serif"/>
          <w:b w:val="false"/>
          <w:color w:val="000000"/>
          <w:sz w:val="16"/>
        </w:rPr>
        <w:t>Forfeited includes restricted stock unit awards and performance unit awards forfeited for service requirements not met and performance unit awards not settled due to underachievement of performance measures.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Of the 152 unit awards granted in fiscal 2026, 101 were restricted stock unit awards and 51 were performance unit awards. The restricted stock unit awards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20 of the performance unit awards granted in fiscal 2026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performance unit awards will be determined based on the Company's compound annual growth rate for revenue (excluding adjustments) for the first fiscal year vesting period, second fiscal year vesting period, third fiscal year vesting period, and the cumulative fiscal three-year vesting period compared against goal thresholds as defined in the award agreement. The performance payout at release of the other half of these performance unit awards will be determined based on the expansion of the Company's non-GAAP operating margin over the first fiscal year vesting period, second fiscal year vesting period, third fiscal year vesting period, and the cumulative fiscal three-year vesting period. 31 of the performance unit awards have market conditions and were valued at grant using a Monte Carlo pricing model as of the measurement date customized to the specific provisions of the Company’s plan design. Per the Company's award vesting and settlement provisions, the performance unit awards that utilize a Monte Carlo pricing model were valued at grant on the basis of Total Shareholder Return (“TSR”) in comparison to the compensation peer group comprised of the Standard and Poor's 900 Index ("S&amp;P 900") participant companies for fiscal year 2026. The Monte Carlo inputs used in the model to estimate fair value at the measurement date and resulting values for these performance unit awards are as follows:</w:t>
      </w:r>
    </w:p>
    <w:tbl>
      <w:tblPr>
        <w:tblW w:w="6712" w:type="dxa"/>
        <w:jc w:val="left"/>
        <w:tblInd w:w="0" w:type="dxa"/>
        <w:tblLayout w:type="fixed"/>
        <w:tblCellMar>
          <w:top w:w="28" w:type="dxa"/>
          <w:left w:w="28" w:type="dxa"/>
          <w:bottom w:w="28" w:type="dxa"/>
          <w:right w:w="28" w:type="dxa"/>
        </w:tblCellMar>
      </w:tblPr>
      <w:tblGrid>
        <w:gridCol w:w="1820"/>
        <w:gridCol w:w="1606"/>
        <w:gridCol w:w="1614"/>
        <w:gridCol w:w="270"/>
        <w:gridCol w:w="271"/>
        <w:gridCol w:w="650"/>
        <w:gridCol w:w="109"/>
        <w:gridCol w:w="109"/>
        <w:gridCol w:w="109"/>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Monte Carlo award inputs: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u w:val="single"/>
              </w:rPr>
            </w:pPr>
            <w:r>
              <w:rPr>
                <w:rFonts w:ascii="Arial;sans-serif" w:hAnsi="Arial;sans-serif"/>
                <w:b/>
                <w:color w:val="000000"/>
                <w:sz w:val="20"/>
                <w:u w:val="single"/>
              </w:rPr>
              <w:t>Fiscal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Peer Group:</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w:t>
            </w:r>
            <w:r>
              <w:rPr>
                <w:color w:val="000000"/>
              </w:rPr>
              <w:t>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 free interest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w:t>
            </w:r>
            <w:r>
              <w:rPr>
                <w:color w:val="000000"/>
              </w:rPr>
              <w:t>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dividend based on most recent quarterly dividend</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w:t>
            </w:r>
            <w:r>
              <w:rPr>
                <w:color w:val="000000"/>
              </w:rPr>
              <w:t>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average percentile rank for TSR</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w:t>
            </w:r>
            <w:r>
              <w:rPr>
                <w:color w:val="000000"/>
              </w:rPr>
              <w:t>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At September 30, 2025, there was $35,703 of compensation expense that has yet to be recognized related to non-vested restricted stock unit and performance unit awards, which will be recognized over a weighted average period of 1.56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NOTE 9.    EARNINGS PER SHARE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table reflects the reconciliation between basic and diluted earnings per share.</w:t>
      </w:r>
    </w:p>
    <w:tbl>
      <w:tblPr>
        <w:tblW w:w="10205" w:type="dxa"/>
        <w:jc w:val="left"/>
        <w:tblInd w:w="0" w:type="dxa"/>
        <w:tblLayout w:type="fixed"/>
        <w:tblCellMar>
          <w:top w:w="28" w:type="dxa"/>
          <w:left w:w="28" w:type="dxa"/>
          <w:bottom w:w="28" w:type="dxa"/>
          <w:right w:w="28" w:type="dxa"/>
        </w:tblCellMar>
      </w:tblPr>
      <w:tblGrid>
        <w:gridCol w:w="2356"/>
        <w:gridCol w:w="2067"/>
        <w:gridCol w:w="2076"/>
        <w:gridCol w:w="253"/>
        <w:gridCol w:w="1030"/>
        <w:gridCol w:w="130"/>
        <w:gridCol w:w="130"/>
        <w:gridCol w:w="130"/>
        <w:gridCol w:w="130"/>
        <w:gridCol w:w="253"/>
        <w:gridCol w:w="1030"/>
        <w:gridCol w:w="130"/>
        <w:gridCol w:w="109"/>
        <w:gridCol w:w="109"/>
        <w:gridCol w:w="109"/>
        <w:gridCol w:w="163"/>
      </w:tblGrid>
      <w:tr>
        <w:trPr/>
        <w:tc>
          <w:tcPr>
            <w:tcW w:w="2356"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6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143,986</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share information:</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for basic earnings per share</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72,751</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options, restricted stock units, and performance units</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158</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for diluted earnings per share</w:t>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72,909</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73,078 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w:t>
            </w: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Per share information is based on the weighted average number of common shares outstanding for the fiscal three months ended September 30, 2025, and 2024. Stock options, restricted stock units, and performance units have been included in the calculation of diluted earnings per share to the extent they are dilutive. There were 19 anti-dilutive restricted stock units or performance units excluded for the fiscal three months ended September 30, 2025, and nominal anti-dilutive stock options, restricted stock units, or performance units were excluded for the fiscal three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NOTE 10.    BUSINESS ACQUISITION</w:t>
      </w:r>
    </w:p>
    <w:p>
      <w:pPr>
        <w:pStyle w:val="TextBody"/>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Victor Technologies, Inc.</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 September 30, 2025, the Company acquired substantially all the assets of Victor Technologies, Inc. ("Victor") for $42,390 paid in cash. The primary reason for the acquisition was to expand the Company's capabilities in the Payments-as-a-Service market. Victor is a cloud-native, API-first provider of direct-to-core embedded payments solutions.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Management has completed a preliminary purchase price allocation and assessment of the fair value of acquired assets and liabilities assumed. The recognized amounts of identifiable assets acquired, and liabilities assumed, based on their fair values as of September 30, 2025, are set forth below:</w:t>
      </w:r>
    </w:p>
    <w:tbl>
      <w:tblPr>
        <w:tblW w:w="3710" w:type="dxa"/>
        <w:jc w:val="left"/>
        <w:tblInd w:w="0" w:type="dxa"/>
        <w:tblLayout w:type="fixed"/>
        <w:tblCellMar>
          <w:top w:w="28" w:type="dxa"/>
          <w:left w:w="28" w:type="dxa"/>
          <w:bottom w:w="28" w:type="dxa"/>
          <w:right w:w="28" w:type="dxa"/>
        </w:tblCellMar>
      </w:tblPr>
      <w:tblGrid>
        <w:gridCol w:w="939"/>
        <w:gridCol w:w="826"/>
        <w:gridCol w:w="829"/>
        <w:gridCol w:w="211"/>
        <w:gridCol w:w="75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Identifiable intangible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liabilities assumed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identifiable net assets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goodwill of $21,867 arising from this acquisition consists largely of the growth potential, synergies, and economies of scale expected from combining the operations of the Company with the acquired operations of Victor, together with the value of Victor's assembled workforce. The goodwill from this acquisition has been allocated to our Payments segment and $21,867 is expected to be deductible for income tax purposes.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Identifiable intangible assets from this acquisition consist of customer relationships of $2,300, computer software of $15,800, and other intangible assets of $2,100. The amortization period for acquired customer relationships, computer software, and other intangible assets is over a term of 10 years.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fair value of current assets acquired included accounts receivable of $1,866, none of which were expected to be uncollectible.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Costs incurred related to the acquisition of Victor were immaterial for the periods presented.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accompanying condensed consolidated statements of income for the fiscal three months ended September 30, 2025, do not include any revenues and expenses related to this acquisition prior to the acquisition date. The impact of this acquisition was considered immaterial to both the current and prior periods of our condensed consolidated financial statements and pro forma financial information has not been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NOTE 11.    REPORTABLE SEGMENT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is a well-rounded financial technology company and is a leading provider of technology solutions and payment processing services primarily to community and regional banks and credit unions.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accountholder information. The Payments segment provides secure payment processing tools and services, including ATM, debit, and credit card processing services, online and mobile bill pay solutions, Automated Clearing House (“ACH”) origination and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Company's Chief Executive Officer, who is also the Company's chief operating decision maker ("CODM"), regularly evaluated segment performance and made strategic decisions on the allocation of resources to the segments based on various factors, including performance against trend, budget, and forecast for the fiscal three months ended September 30, 2025, and 2024. The CODM also used reportable segment revenue, costs of revenue, and segment income to evaluate segment performance and allocate resources. The Company has not disclosed any additional asset information by segment, as the information is not generated for internal management reporting to the CODM. </w:t>
      </w:r>
    </w:p>
    <w:p>
      <w:pPr>
        <w:pStyle w:val="TextBody"/>
        <w:bidi w:val="0"/>
        <w:spacing w:lineRule="auto" w:line="288" w:before="100" w:after="283"/>
        <w:jc w:val="both"/>
        <w:rPr/>
      </w:pPr>
      <w:r>
        <w:rPr>
          <w:rFonts w:ascii="Arial;sans-serif" w:hAnsi="Arial;sans-serif"/>
          <w:b w:val="false"/>
          <w:color w:val="000000"/>
          <w:sz w:val="20"/>
        </w:rPr>
        <w:t>During the fiscal three months ended September 30, 2025, the Company transferred a product from the Corporate and Other segment to the Complementary segment, due to better alignment with the Complementary segment. As a result of this transfer, adjustments were made during the fiscal three months ended September 30, 2025, to reclassify related revenue and cost of revenue recognized for the fiscal three months ended September 30, 2024, from the Corporate and Other segment to the Complementary segment. Revenue and cost of revenue reclassed for the fiscal three months ended September 30, 2024, was $3,242 and $704, respectively</w:t>
      </w:r>
      <w:r>
        <w:rPr>
          <w:rFonts w:ascii="Times New Roman;serif" w:hAnsi="Times New Roman;serif"/>
          <w:b w:val="false"/>
          <w:color w:val="000000"/>
          <w:sz w:val="20"/>
        </w:rPr>
        <w:t>.</w:t>
      </w:r>
      <w:r>
        <w:rPr>
          <w:color w:val="000000"/>
        </w:rPr>
        <w:t xml:space="preserve">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Immaterial adjustments have been made between segments during the fiscal three months ended September 30, 2025 to reclassify revenue and cost of revenue that was recognized for the fiscal three months ended September 30, 2024. These reclasses were made to be consistent with the current allocation of revenue and cost of revenue by segment. Revenue and cost of revenue reclassed for the fiscal three months ended September 30, 2024, from the Core segment to the Complementary segment, was $1,337 and $473,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24"/>
        <w:gridCol w:w="722"/>
        <w:gridCol w:w="726"/>
        <w:gridCol w:w="211"/>
        <w:gridCol w:w="826"/>
        <w:gridCol w:w="109"/>
        <w:gridCol w:w="109"/>
        <w:gridCol w:w="109"/>
        <w:gridCol w:w="109"/>
        <w:gridCol w:w="211"/>
        <w:gridCol w:w="826"/>
        <w:gridCol w:w="109"/>
        <w:gridCol w:w="109"/>
        <w:gridCol w:w="109"/>
        <w:gridCol w:w="109"/>
        <w:gridCol w:w="273"/>
        <w:gridCol w:w="1071"/>
        <w:gridCol w:w="142"/>
        <w:gridCol w:w="109"/>
        <w:gridCol w:w="109"/>
        <w:gridCol w:w="109"/>
        <w:gridCol w:w="297"/>
        <w:gridCol w:w="1102"/>
        <w:gridCol w:w="153"/>
        <w:gridCol w:w="109"/>
        <w:gridCol w:w="109"/>
        <w:gridCol w:w="109"/>
        <w:gridCol w:w="211"/>
        <w:gridCol w:w="826"/>
        <w:gridCol w:w="158"/>
      </w:tblGrid>
      <w:tr>
        <w:trPr/>
        <w:tc>
          <w:tcPr>
            <w:tcW w:w="92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r>
      <w:tr>
        <w:trPr/>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Support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183,860 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146,311 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20,939 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376,851 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47,906 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267,887 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194,217 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644,738 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84,509 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348,566 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Expenses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460,673 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121,957 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(60,175)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190,318 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43"/>
        <w:gridCol w:w="748"/>
        <w:gridCol w:w="753"/>
        <w:gridCol w:w="211"/>
        <w:gridCol w:w="826"/>
        <w:gridCol w:w="109"/>
        <w:gridCol w:w="109"/>
        <w:gridCol w:w="109"/>
        <w:gridCol w:w="109"/>
        <w:gridCol w:w="211"/>
        <w:gridCol w:w="721"/>
        <w:gridCol w:w="109"/>
        <w:gridCol w:w="109"/>
        <w:gridCol w:w="109"/>
        <w:gridCol w:w="109"/>
        <w:gridCol w:w="273"/>
        <w:gridCol w:w="1071"/>
        <w:gridCol w:w="142"/>
        <w:gridCol w:w="109"/>
        <w:gridCol w:w="109"/>
        <w:gridCol w:w="109"/>
        <w:gridCol w:w="303"/>
        <w:gridCol w:w="1127"/>
        <w:gridCol w:w="156"/>
        <w:gridCol w:w="109"/>
        <w:gridCol w:w="109"/>
        <w:gridCol w:w="109"/>
        <w:gridCol w:w="211"/>
        <w:gridCol w:w="826"/>
        <w:gridCol w:w="157"/>
      </w:tblGrid>
      <w:tr>
        <w:trPr/>
        <w:tc>
          <w:tcPr>
            <w:tcW w:w="9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Support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134,572 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356,679 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176,281 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600,982 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343,432 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Expenses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449,706 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109,137 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(63,830)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156,798 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NOTE 12.     SUBSEQUENT EVENTS</w:t>
      </w:r>
    </w:p>
    <w:p>
      <w:pPr>
        <w:pStyle w:val="TextBody"/>
        <w:bidi w:val="0"/>
        <w:spacing w:lineRule="auto" w:line="288" w:before="100" w:after="2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2.  MANAGEMENT’S DISCUSSION AND ANALYSIS OF FINANCIAL CONDITION AND RESULTS OF OPERATIONS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This discussion and analysis should be read in conjunction with the condensed consolidated financial statements and the accompanying notes to the condensed consolidated financial statements included in this Form 10-Q for the fiscal quarter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Jack Henry &amp; Associates, Inc. is a well-rounded financial technology company headquartered in Monett, Missouri, that employs approximately 7,200 full-time and part-time associates nationwide, and is a leading provider of technology solutions and payment processing services primarily to community and regional banks and credit unions. Our solutions serve approximately 7,400 clients and consist of integrated data processing systems solutions to U.S. banks ranging from de novo to multi-billion-dollar institutions with assets up to $55 billion, core data processing solutions for credit unions of all sizes, and non-core highly specialized core-agnostic products and services that enable banks and credit unions of every asset size and charter, and diverse corporate entities outside the financial services industry, to mitigate and control risks, optimize revenue and growth opportunities, and contain costs. Our integrated solutions are available for on-premise installation and delivery in our private and public cloud.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Each of our solutions shares the fundamental commitment to provide high-quality business systems, service levels that consistently exceed client expectations, and integration of solutions and practical new technologies. The quality of our solutions, our high service standards, and the fundamental way we do business typically foster long-term client relationships, attract prospective clients, and have enabled us to capture substantial market share.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Through internal product development, disciplined acquisitions, and alliances with companies offering niche solutions that complement our proprietary solutions, we regularly introduce new products and services and generate new cross-sales opportunities. We provide compatible computer hardware for our on-premise installations and secure processing environments for our outsourced solutions in our private and public cloud. We perform data conversions, software implementations, initial and ongoing client training, and ongoing client support services.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believe our primary competitive advantage is client service. Our support infrastructure and strict standards provide service levels that generate high levels of client satisfaction and retention. We consistently measure client satisfaction using a variety of surveys, such as an annual survey on the client's anniversary date and randomly-generated surveys initiated each day by routine support requests. Dedicated surveys are also used to grade specific aspects of our client experience, including product implementation, education, and consulting services.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Our two primary revenue streams are “services and support” and “processing.” Services and support includes: “private and public cloud” revenues that predominantly have contract terms of six years at inception; “product delivery and services” revenues, which include revenues from the sales of licenses, implementation services, deconversions, consulting, and hardware; and “on-premise support” revenues, composed of maintenance fees that primarily contain annual contract terms. Processing includes: "remittance” revenues from payment processing, remote capture, and ACH transactions; “card” revenues, including card transaction processing and monthly fees; and “transaction and digital” revenues, which include transaction and mobile processing revenues. We continually seek opportunities to increase revenue while at the same time containing costs to expand margins.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have four reportable segments: Core, Payments, Complementary, and Corporate and Other. The respective segments include all related revenues along with the related cost of revenue.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 detailed discussion of the major components of the results of operations follows. All amounts in the following discussion are in thousands, except per share amounts.</w:t>
      </w: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For the first quarter of fiscal 2026, total revenue increased 7.3%, or $43,756, compared to the same quarter in fiscal 2025. Total revenue less deconversion revenue of $8,626 for the current fiscal quarter and less revenue related to a contractual change of $12,248 and deconversion revenue of $3,697 for the prior fiscal year first quarter results in an increase of 8.7% quarter over quarter. This increase was primarily driven by organic growth in our revenue lines including data processing and hosting within private and public cloud, card, Jack Henry digital, including Banno, and payment processing, including PayCenter products. Increased user group revenue related to the timing of our Connect conference was also a driver.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Operating expenses increased 2.4%, or $10,967, for the first quarter of fiscal 2026 compared to the first quarter of fiscal 2025. Total operating expenses less the gain on sale of assets of $3,796 and deconversion operating expenses of $1,525 for the current fiscal quarter and less operating expenses related to a contractual change of $10,443 and deconversion operating expenses of $202 for the prior fiscal year first quarter results in an increase of 5.4% quarter over quarter. This increase was primarily driven by higher direct costs, increased expenses related to our Connect conference, higher personnel costs tempered by lower benefits costs, and increased amortization of intangible assets.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Operating income increased 21.7%, or $32,789, for the first quarter of fiscal 2026 compared to the first quarter of fiscal 2025. Total operating income less the gain on sale of assets of $3,796 and deconversion operating income of $7,101 for the current fiscal quarter and less operating income related to a contractual change of $1,805 and deconversion operating income of $3,495 for the prior fiscal year first quarter results in an increase of 18.6%, quarter over quarter. This increase was primarily driven by organic revenue growth partially offset by increased operating expenses detailed above tempered by our disciplined approach to compensation, headcount and infrastructure costs.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provision for income taxes increased 23.2%, or $8,725, for the first quarter of fiscal 2026, compared to the first quarter of fiscal 2025. This increase was primarily driven by the increase in income before income taxes. The effective tax rate for the current fiscal quarter was 24.3% compared to 24.0% for the same quarter a year ago.</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Net income increased 20.8%, or $24,795, for the first quarter of fiscal 2026, compared to the first quarter of fiscal 2025. The total net income increase, quarter over quarter, was lower when adjusted for the gain on sale of assets and deconversion net income in the current fiscal quarter and the net income related to a contractual change and deconversion net income in the prior fiscal year first quarter The increase excluding these one-time items was primarily due to net organic growth in our lines of revenue for the first quarter of fiscal 2026 partially offset by commensurate higher operating expenses and the increased provision for income taxes.</w:t>
      </w:r>
    </w:p>
    <w:p>
      <w:pPr>
        <w:pStyle w:val="TextBody"/>
        <w:bidi w:val="0"/>
        <w:spacing w:lineRule="auto" w:line="288" w:before="100" w:after="283"/>
        <w:jc w:val="both"/>
        <w:rPr/>
      </w:pPr>
      <w:r>
        <w:rPr>
          <w:rFonts w:ascii="Arial;sans-serif" w:hAnsi="Arial;sans-serif"/>
          <w:b w:val="false"/>
          <w:color w:val="000000"/>
          <w:sz w:val="20"/>
        </w:rPr>
        <w:t>As we move into the second quarter of fiscal 2026 – our 50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year in business – we are excited and confident about our future, and we remain well-positioned to deliver durable, consistent growth and attractive results for our shareholders. Technology spending by financial institutions remains strong, and there is clear demand for our differentiated and innovative technology solutions. We have a very healthy sales pipeline and a proven ability to attract and win deals, especially with larger financial institutions. Our unwavering focus on culture, service, innovation, strategy, and execution continues to set us apart in the market and will enable us to drive continued industry-leading revenue growth with strong margin expansion, benefiting our associates, clients, and shareholders.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 detailed discussion of the major components of the results of operations for the fiscal three months ended September 30, 2025, follows.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Discussions compare the current fiscal year's three months ended September 30, 2025, to the prior fiscal year's three months ended September 30, 2024.</w:t>
      </w: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REVENUE</w:t>
      </w:r>
    </w:p>
    <w:tbl>
      <w:tblPr>
        <w:tblW w:w="7671" w:type="dxa"/>
        <w:jc w:val="left"/>
        <w:tblInd w:w="0" w:type="dxa"/>
        <w:tblLayout w:type="fixed"/>
        <w:tblCellMar>
          <w:top w:w="28" w:type="dxa"/>
          <w:left w:w="28" w:type="dxa"/>
          <w:bottom w:w="28" w:type="dxa"/>
          <w:right w:w="28" w:type="dxa"/>
        </w:tblCellMar>
      </w:tblPr>
      <w:tblGrid>
        <w:gridCol w:w="914"/>
        <w:gridCol w:w="800"/>
        <w:gridCol w:w="806"/>
        <w:gridCol w:w="226"/>
        <w:gridCol w:w="918"/>
        <w:gridCol w:w="307"/>
        <w:gridCol w:w="117"/>
        <w:gridCol w:w="117"/>
        <w:gridCol w:w="117"/>
        <w:gridCol w:w="226"/>
        <w:gridCol w:w="918"/>
        <w:gridCol w:w="307"/>
        <w:gridCol w:w="109"/>
        <w:gridCol w:w="109"/>
        <w:gridCol w:w="109"/>
        <w:gridCol w:w="218"/>
        <w:gridCol w:w="218"/>
        <w:gridCol w:w="436"/>
        <w:gridCol w:w="109"/>
        <w:gridCol w:w="109"/>
        <w:gridCol w:w="109"/>
        <w:gridCol w:w="109"/>
        <w:gridCol w:w="109"/>
        <w:gridCol w:w="154"/>
      </w:tblGrid>
      <w:tr>
        <w:trPr/>
        <w:tc>
          <w:tcPr>
            <w:tcW w:w="91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Services and Support</w:t>
            </w:r>
          </w:p>
        </w:tc>
        <w:tc>
          <w:tcPr>
            <w:tcW w:w="3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Support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376,851</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356,679 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w:t>
            </w: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Services and support revenue increased 5.7% for the first quarter of fiscal 2026 compared to the same quarter a year ago. Total services and support revenue less deconversion revenue of $8,626 for the current fiscal quarter and less revenue related to a contractual change of $12,248 and deconversion revenue of $3,697 for the prior fiscal year first quarter, results in growth of 8.1% quarter over quarter. This increase was primarily driven by growth in data processing and hosting revenues within private and public cloud as new and existing clients continue to migrate to our private cloud and processing volumes expand, user group revenue related to the timing of our Connect conference, work order revenue, and implementation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tbl>
      <w:tblPr>
        <w:tblW w:w="7671" w:type="dxa"/>
        <w:jc w:val="left"/>
        <w:tblInd w:w="0" w:type="dxa"/>
        <w:tblLayout w:type="fixed"/>
        <w:tblCellMar>
          <w:top w:w="28" w:type="dxa"/>
          <w:left w:w="28" w:type="dxa"/>
          <w:bottom w:w="28" w:type="dxa"/>
          <w:right w:w="28" w:type="dxa"/>
        </w:tblCellMar>
      </w:tblPr>
      <w:tblGrid>
        <w:gridCol w:w="912"/>
        <w:gridCol w:w="803"/>
        <w:gridCol w:w="805"/>
        <w:gridCol w:w="226"/>
        <w:gridCol w:w="918"/>
        <w:gridCol w:w="307"/>
        <w:gridCol w:w="117"/>
        <w:gridCol w:w="117"/>
        <w:gridCol w:w="117"/>
        <w:gridCol w:w="226"/>
        <w:gridCol w:w="918"/>
        <w:gridCol w:w="307"/>
        <w:gridCol w:w="109"/>
        <w:gridCol w:w="109"/>
        <w:gridCol w:w="109"/>
        <w:gridCol w:w="218"/>
        <w:gridCol w:w="218"/>
        <w:gridCol w:w="436"/>
        <w:gridCol w:w="109"/>
        <w:gridCol w:w="109"/>
        <w:gridCol w:w="109"/>
        <w:gridCol w:w="109"/>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Processing</w:t>
            </w:r>
          </w:p>
        </w:tc>
        <w:tc>
          <w:tcPr>
            <w:tcW w:w="3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Processing</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267,887</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244,303 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Processing revenue increased 9.7% for the first quarter of fiscal 2026 compared to the same quarter last fiscal year. This increase was primarily driven by growth in card revenue from monthly service and risk management fees, improvement in Jack Henry digital revenue (including Banno) from a higher number of active users and from the ramping up of add-on products, higher payment processing revenues, including PayCenter products — Zelle, RTP (Real Time Payments), and FedNow — from expanding active users and new client revenue. Deconversion and other one-time revenue did not significantly affect processing revenue quarter over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OPERATING EXPENSES</w:t>
      </w:r>
    </w:p>
    <w:tbl>
      <w:tblPr>
        <w:tblW w:w="7670" w:type="dxa"/>
        <w:jc w:val="left"/>
        <w:tblInd w:w="0" w:type="dxa"/>
        <w:tblLayout w:type="fixed"/>
        <w:tblCellMar>
          <w:top w:w="28" w:type="dxa"/>
          <w:left w:w="28" w:type="dxa"/>
          <w:bottom w:w="28" w:type="dxa"/>
          <w:right w:w="28" w:type="dxa"/>
        </w:tblCellMar>
      </w:tblPr>
      <w:tblGrid>
        <w:gridCol w:w="913"/>
        <w:gridCol w:w="800"/>
        <w:gridCol w:w="806"/>
        <w:gridCol w:w="226"/>
        <w:gridCol w:w="918"/>
        <w:gridCol w:w="307"/>
        <w:gridCol w:w="117"/>
        <w:gridCol w:w="117"/>
        <w:gridCol w:w="117"/>
        <w:gridCol w:w="226"/>
        <w:gridCol w:w="918"/>
        <w:gridCol w:w="307"/>
        <w:gridCol w:w="109"/>
        <w:gridCol w:w="109"/>
        <w:gridCol w:w="109"/>
        <w:gridCol w:w="218"/>
        <w:gridCol w:w="218"/>
        <w:gridCol w:w="436"/>
        <w:gridCol w:w="109"/>
        <w:gridCol w:w="109"/>
        <w:gridCol w:w="109"/>
        <w:gridCol w:w="109"/>
        <w:gridCol w:w="109"/>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 of Revenue</w:t>
            </w:r>
          </w:p>
        </w:tc>
        <w:tc>
          <w:tcPr>
            <w:tcW w:w="3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348,566</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343,432 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Cost of revenue for the first quarter of fiscal 2026 increased 1.5% over the prior fiscal year first quarter. Total cost of revenue less deconversion costs of $904 for the current fiscal quarter and less costs related to a contractual change of $10,443 and deconversion costs of $115 for the prior fiscal year first quarter, results in a 4.4% increase quarter over quarter. This increase was primarily due to higher direct costs generally consistent with increases in the related lines of revenue, higher personnel costs primarily related to an increase in headcount during the trailing twelve months tempered by a decrease in benefit costs, and increased amortization of intangible assets. Cost of revenue decreased 3% as a percentage of total revenue compared to the prior fiscal year first quarter.</w:t>
      </w:r>
    </w:p>
    <w:p>
      <w:pPr>
        <w:pStyle w:val="TextBody"/>
        <w:bidi w:val="0"/>
        <w:spacing w:before="100" w:after="283"/>
        <w:jc w:val="both"/>
        <w:rPr/>
      </w:pPr>
      <w:r>
        <w:rPr/>
      </w:r>
    </w:p>
    <w:tbl>
      <w:tblPr>
        <w:tblW w:w="7863" w:type="dxa"/>
        <w:jc w:val="left"/>
        <w:tblInd w:w="0" w:type="dxa"/>
        <w:tblLayout w:type="fixed"/>
        <w:tblCellMar>
          <w:top w:w="28" w:type="dxa"/>
          <w:left w:w="28" w:type="dxa"/>
          <w:bottom w:w="28" w:type="dxa"/>
          <w:right w:w="28" w:type="dxa"/>
        </w:tblCellMar>
      </w:tblPr>
      <w:tblGrid>
        <w:gridCol w:w="962"/>
        <w:gridCol w:w="844"/>
        <w:gridCol w:w="848"/>
        <w:gridCol w:w="243"/>
        <w:gridCol w:w="866"/>
        <w:gridCol w:w="329"/>
        <w:gridCol w:w="125"/>
        <w:gridCol w:w="125"/>
        <w:gridCol w:w="125"/>
        <w:gridCol w:w="243"/>
        <w:gridCol w:w="866"/>
        <w:gridCol w:w="329"/>
        <w:gridCol w:w="109"/>
        <w:gridCol w:w="109"/>
        <w:gridCol w:w="109"/>
        <w:gridCol w:w="248"/>
        <w:gridCol w:w="248"/>
        <w:gridCol w:w="436"/>
        <w:gridCol w:w="109"/>
        <w:gridCol w:w="109"/>
        <w:gridCol w:w="109"/>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Research and Development</w:t>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39,278</w:t>
            </w: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39,686 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Arial;sans-serif" w:hAnsi="Arial;sans-serif"/>
          <w:b w:val="false"/>
          <w:color w:val="000000"/>
          <w:sz w:val="20"/>
        </w:rPr>
        <w:t>Research and development expense decreased 1.0% for the first quarter of fiscal 2026 compared to the prior fiscal year first quarter. This slight decrease was primarily due to a tempered personnel cost increase (net of capitalization) from lower compensation increases and employee headcount additions in the trailing twelve months. Deconversion and other one-time costs did not significantly affect research and development expenses quarter over quarter. Research and development expense decreased 1%</w:t>
      </w:r>
      <w:r>
        <w:rPr>
          <w:color w:val="000000"/>
        </w:rPr>
        <w:t xml:space="preserve"> </w:t>
      </w:r>
      <w:r>
        <w:rPr>
          <w:rFonts w:ascii="Arial;sans-serif" w:hAnsi="Arial;sans-serif"/>
          <w:b w:val="false"/>
          <w:color w:val="000000"/>
          <w:sz w:val="20"/>
        </w:rPr>
        <w:t>as a percentage of total revenue</w:t>
      </w:r>
      <w:r>
        <w:rPr>
          <w:color w:val="000000"/>
        </w:rPr>
        <w:t xml:space="preserve"> </w:t>
      </w:r>
      <w:r>
        <w:rPr>
          <w:rFonts w:ascii="Arial;sans-serif" w:hAnsi="Arial;sans-serif"/>
          <w:b w:val="false"/>
          <w:color w:val="000000"/>
          <w:sz w:val="20"/>
        </w:rPr>
        <w:t>compared to the prior fiscal year first quarter.</w:t>
      </w:r>
    </w:p>
    <w:tbl>
      <w:tblPr>
        <w:tblW w:w="8644" w:type="dxa"/>
        <w:jc w:val="left"/>
        <w:tblInd w:w="0" w:type="dxa"/>
        <w:tblLayout w:type="fixed"/>
        <w:tblCellMar>
          <w:top w:w="28" w:type="dxa"/>
          <w:left w:w="28" w:type="dxa"/>
          <w:bottom w:w="28" w:type="dxa"/>
          <w:right w:w="28" w:type="dxa"/>
        </w:tblCellMar>
      </w:tblPr>
      <w:tblGrid>
        <w:gridCol w:w="1266"/>
        <w:gridCol w:w="1112"/>
        <w:gridCol w:w="1117"/>
        <w:gridCol w:w="243"/>
        <w:gridCol w:w="866"/>
        <w:gridCol w:w="329"/>
        <w:gridCol w:w="125"/>
        <w:gridCol w:w="125"/>
        <w:gridCol w:w="125"/>
        <w:gridCol w:w="243"/>
        <w:gridCol w:w="866"/>
        <w:gridCol w:w="329"/>
        <w:gridCol w:w="109"/>
        <w:gridCol w:w="109"/>
        <w:gridCol w:w="109"/>
        <w:gridCol w:w="218"/>
        <w:gridCol w:w="218"/>
        <w:gridCol w:w="436"/>
        <w:gridCol w:w="109"/>
        <w:gridCol w:w="109"/>
        <w:gridCol w:w="109"/>
        <w:gridCol w:w="109"/>
        <w:gridCol w:w="109"/>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Selling, General, and Administrative</w:t>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72,829</w:t>
            </w: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66,588 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Selling, general, and administrative expense increased 9.4% in the first quarter of fiscal 2026 compared to the same quarter in the prior fiscal year. Total selling, general, and administrative expense less the gain on sale of assets of $3,796 and deconversion costs of $621 for the current fiscal quarter and deconversion costs of $87 for the prior fiscal year first quarter results in a 14.3% increase quarter over quarter. This increase was primarily due to higher expenses related to the timing of our user group meeting, increased professional services expense, and higher personnel costs related to an increase in employee headcount in the trailing twelve months tempered by lower commissions and benefit costs. Selling, general, and administrative expense remained consistent as a percentage of total revenue compared to the prior fiscal year first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tbl>
      <w:tblPr>
        <w:tblW w:w="7252" w:type="dxa"/>
        <w:jc w:val="left"/>
        <w:tblInd w:w="0" w:type="dxa"/>
        <w:tblLayout w:type="fixed"/>
        <w:tblCellMar>
          <w:top w:w="28" w:type="dxa"/>
          <w:left w:w="28" w:type="dxa"/>
          <w:bottom w:w="28" w:type="dxa"/>
          <w:right w:w="28" w:type="dxa"/>
        </w:tblCellMar>
      </w:tblPr>
      <w:tblGrid>
        <w:gridCol w:w="701"/>
        <w:gridCol w:w="616"/>
        <w:gridCol w:w="618"/>
        <w:gridCol w:w="296"/>
        <w:gridCol w:w="907"/>
        <w:gridCol w:w="153"/>
        <w:gridCol w:w="153"/>
        <w:gridCol w:w="153"/>
        <w:gridCol w:w="153"/>
        <w:gridCol w:w="296"/>
        <w:gridCol w:w="991"/>
        <w:gridCol w:w="153"/>
        <w:gridCol w:w="109"/>
        <w:gridCol w:w="109"/>
        <w:gridCol w:w="109"/>
        <w:gridCol w:w="299"/>
        <w:gridCol w:w="301"/>
        <w:gridCol w:w="436"/>
        <w:gridCol w:w="109"/>
        <w:gridCol w:w="109"/>
        <w:gridCol w:w="109"/>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INTEREST INCOME</w:t>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7,139</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(14.5)</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(68.6)</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Interest income and interest expense decreased due to lower interest-earning and credit line balances, respectively, for the fiscal three months ended September 30, 2025, compared to the fiscal three months ended September 30, 2024.</w:t>
      </w:r>
    </w:p>
    <w:tbl>
      <w:tblPr>
        <w:tblW w:w="8493" w:type="dxa"/>
        <w:jc w:val="left"/>
        <w:tblInd w:w="0" w:type="dxa"/>
        <w:tblLayout w:type="fixed"/>
        <w:tblCellMar>
          <w:top w:w="28" w:type="dxa"/>
          <w:left w:w="28" w:type="dxa"/>
          <w:bottom w:w="28" w:type="dxa"/>
          <w:right w:w="28" w:type="dxa"/>
        </w:tblCellMar>
      </w:tblPr>
      <w:tblGrid>
        <w:gridCol w:w="1172"/>
        <w:gridCol w:w="1031"/>
        <w:gridCol w:w="1036"/>
        <w:gridCol w:w="243"/>
        <w:gridCol w:w="866"/>
        <w:gridCol w:w="329"/>
        <w:gridCol w:w="125"/>
        <w:gridCol w:w="125"/>
        <w:gridCol w:w="125"/>
        <w:gridCol w:w="243"/>
        <w:gridCol w:w="866"/>
        <w:gridCol w:w="329"/>
        <w:gridCol w:w="109"/>
        <w:gridCol w:w="109"/>
        <w:gridCol w:w="109"/>
        <w:gridCol w:w="270"/>
        <w:gridCol w:w="271"/>
        <w:gridCol w:w="436"/>
        <w:gridCol w:w="109"/>
        <w:gridCol w:w="109"/>
        <w:gridCol w:w="109"/>
        <w:gridCol w:w="109"/>
        <w:gridCol w:w="109"/>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PROVISION FOR INCOME TAXES</w:t>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46,332</w:t>
            </w: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37,607 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Rate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24.3</w:t>
            </w: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provision for income taxes increased 23.2% for the first quarter of fiscal 2026, compared to the first quarter of fiscal 2025. The effective tax rate for the current fiscal quarter was 24.3% compared to 24.0% for the same quarter a year ago.</w:t>
      </w:r>
    </w:p>
    <w:tbl>
      <w:tblPr>
        <w:tblW w:w="7640" w:type="dxa"/>
        <w:jc w:val="left"/>
        <w:tblInd w:w="0" w:type="dxa"/>
        <w:tblLayout w:type="fixed"/>
        <w:tblCellMar>
          <w:top w:w="28" w:type="dxa"/>
          <w:left w:w="28" w:type="dxa"/>
          <w:bottom w:w="28" w:type="dxa"/>
          <w:right w:w="28" w:type="dxa"/>
        </w:tblCellMar>
      </w:tblPr>
      <w:tblGrid>
        <w:gridCol w:w="863"/>
        <w:gridCol w:w="760"/>
        <w:gridCol w:w="762"/>
        <w:gridCol w:w="256"/>
        <w:gridCol w:w="1040"/>
        <w:gridCol w:w="132"/>
        <w:gridCol w:w="132"/>
        <w:gridCol w:w="132"/>
        <w:gridCol w:w="132"/>
        <w:gridCol w:w="256"/>
        <w:gridCol w:w="1040"/>
        <w:gridCol w:w="132"/>
        <w:gridCol w:w="109"/>
        <w:gridCol w:w="109"/>
        <w:gridCol w:w="109"/>
        <w:gridCol w:w="270"/>
        <w:gridCol w:w="271"/>
        <w:gridCol w:w="436"/>
        <w:gridCol w:w="109"/>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143,986</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20.8</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Net income increased 20.8% to $143,986, or $1.97 per diluted share, for the first quarter of fiscal 2026 compared to $119,191, or $1.63 per diluted share, in the same quarter of fiscal 2025. The total net income increase, quarter over quarter, was lower when adjusted for the gain on sale of assets and deconversion net income in the current fiscal quarter and the net income related to a contractual change and deconversion net income in the prior fiscal year first quarter. The increase excluding these one-time items was primarily due to net organic growth in our lines of revenue for the first quarter of fiscal 2026 partially offset by commensurate higher operating expenses and the increased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REPORTABLE SEGMENT DISCUSSION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is a well-rounded financial technology company and is a leading provider of technology solutions and payment processing services primarily to community and regional banks and credit unions.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accountholder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Company's Chief Executive Officer, who is also the Company's CODM, regularly evaluated segment performance and made strategic decisions on the allocation of resources to them based on various factors, including performance against trend, budget, and forecast for the fiscal three months ended September 30, 2025, and 2024. The CODM also used reportable segment revenue, costs of revenue, and segment income to evaluate segment performance and allocate resources. The Company has not disclosed any additional asset information by segment, as the information is not generated for internal management reporting to the CODM.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pPr>
      <w:r>
        <w:rPr>
          <w:rFonts w:ascii="Arial;sans-serif" w:hAnsi="Arial;sans-serif"/>
          <w:b w:val="false"/>
          <w:color w:val="000000"/>
          <w:sz w:val="20"/>
        </w:rPr>
        <w:t>During the fiscal three months ended September 30, 2025, the Company transferred a product from the Corporate and Other segment to the Complementary segment, due to better alignment with the Complementary segment. As a result of this transfer, adjustments were made during the fiscal three months ended September 30, 2025, to reclassify related revenue and cost of revenue recognized for the fiscal three months ended September 30, 2024, from the Corporate and Other segment to the Complementary segment. Revenue and cost of revenue reclassed for the fiscal three months ended September 30, 2024, was $3,242 and $704, respectively</w:t>
      </w:r>
      <w:r>
        <w:rPr>
          <w:rFonts w:ascii="Times New Roman;serif" w:hAnsi="Times New Roman;serif"/>
          <w:b w:val="false"/>
          <w:color w:val="000000"/>
          <w:sz w:val="20"/>
        </w:rPr>
        <w:t>.</w:t>
      </w:r>
      <w:r>
        <w:rPr>
          <w:color w:val="000000"/>
        </w:rPr>
        <w:t xml:space="preserve">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Immaterial adjustments have been made between segments during the fiscal three months ended September 30, 2025, to reclassify revenue and cost of revenue that was recognized for the fiscal three months ended September 30, 2024. These reclasses were made to be consistent with the current allocation of revenue and cost of revenue by segment. Revenue and cost of revenue reclassed for the fiscal three months ended September 30, 2024, from the Core segment to the Complementary segment, was $1,337 and $473, respectively.</w:t>
      </w:r>
    </w:p>
    <w:tbl>
      <w:tblPr>
        <w:tblW w:w="6921" w:type="dxa"/>
        <w:jc w:val="left"/>
        <w:tblInd w:w="0" w:type="dxa"/>
        <w:tblLayout w:type="fixed"/>
        <w:tblCellMar>
          <w:top w:w="28" w:type="dxa"/>
          <w:left w:w="28" w:type="dxa"/>
          <w:bottom w:w="28" w:type="dxa"/>
          <w:right w:w="28" w:type="dxa"/>
        </w:tblCellMar>
      </w:tblPr>
      <w:tblGrid>
        <w:gridCol w:w="569"/>
        <w:gridCol w:w="501"/>
        <w:gridCol w:w="505"/>
        <w:gridCol w:w="256"/>
        <w:gridCol w:w="1040"/>
        <w:gridCol w:w="132"/>
        <w:gridCol w:w="132"/>
        <w:gridCol w:w="132"/>
        <w:gridCol w:w="132"/>
        <w:gridCol w:w="256"/>
        <w:gridCol w:w="1040"/>
        <w:gridCol w:w="132"/>
        <w:gridCol w:w="109"/>
        <w:gridCol w:w="109"/>
        <w:gridCol w:w="109"/>
        <w:gridCol w:w="248"/>
        <w:gridCol w:w="248"/>
        <w:gridCol w:w="572"/>
        <w:gridCol w:w="109"/>
        <w:gridCol w:w="109"/>
        <w:gridCol w:w="109"/>
        <w:gridCol w:w="109"/>
        <w:gridCol w:w="109"/>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5346" w:type="dxa"/>
            <w:gridSpan w:val="21"/>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Core</w:t>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195,293</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194,287 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73,137</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Revenue in the Core segment increased 0.5% and cost of revenue decreased 9.6% for the fiscal three months ended September 30, 2025, compared to the fiscal three months ended September 30, 2024. Core revenue less deconversion revenue of $3,219 for the fiscal three months ended September 30, 2025, and less revenue related to a contractual change of $12,248 and deconversion revenue of $1,287 for the fiscal three months ended September 30, 2024, results in a 6.3% increase quarter over quarter. This increase was primarily driven by organic growth in our Core revenue lines including data processing and hosting revenues within private and public cloud as new and existing clients continue to migrate to our private cloud and processing volumes expand. Core cost of revenue less deconversion costs of $443 for the fiscal three months ended September 30, 2025, and less costs related to a contractual change of $10,443 and deconversion costs of $37 for the fiscal three months ended September 30, 2024, results in a 3.2% increase quarter over quarter. This increase was primarily due to higher direct costs generally consistent with increases in related lines of revenue. Core cost of revenue decreased 4% as a percentage of Core revenue for the first quarter of fiscal 2026 compared to the same quarter in fiscal 2025.</w:t>
      </w:r>
    </w:p>
    <w:tbl>
      <w:tblPr>
        <w:tblW w:w="6861" w:type="dxa"/>
        <w:jc w:val="left"/>
        <w:tblInd w:w="0" w:type="dxa"/>
        <w:tblLayout w:type="fixed"/>
        <w:tblCellMar>
          <w:top w:w="28" w:type="dxa"/>
          <w:left w:w="28" w:type="dxa"/>
          <w:bottom w:w="28" w:type="dxa"/>
          <w:right w:w="28" w:type="dxa"/>
        </w:tblCellMar>
      </w:tblPr>
      <w:tblGrid>
        <w:gridCol w:w="570"/>
        <w:gridCol w:w="502"/>
        <w:gridCol w:w="503"/>
        <w:gridCol w:w="256"/>
        <w:gridCol w:w="1040"/>
        <w:gridCol w:w="132"/>
        <w:gridCol w:w="132"/>
        <w:gridCol w:w="132"/>
        <w:gridCol w:w="132"/>
        <w:gridCol w:w="256"/>
        <w:gridCol w:w="1040"/>
        <w:gridCol w:w="132"/>
        <w:gridCol w:w="109"/>
        <w:gridCol w:w="109"/>
        <w:gridCol w:w="109"/>
        <w:gridCol w:w="218"/>
        <w:gridCol w:w="218"/>
        <w:gridCol w:w="572"/>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Payments</w:t>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230,894</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211,923 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118,660</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Revenue in the Payments segment increased 9.0% and cost of revenue increased 5.0% for the first quarter of fiscal 2026 compared to the same quarter last fiscal year. Payments revenue less deconversion revenue in both quarters, which totaled $3,483 for the first quarter of fiscal 2026 and $1,914 for the first quarter of fiscal 2025, results in an 8.3% increase quarter over quarter. This increase was primarily due to higher card revenue from an increase in volume and higher payment processing revenues, including PayCenter products — Zelle, RTP, and FedNow — from expanding active users and new client revenue. The Payments cost of revenue increase was primarily due to higher direct costs generally consistent with increases in lines of revenue. Deconversion and one-time costs did not significantly affect Payments cost of revenue quarter over quarter. Payments cost of revenue as a percentage of Payments revenue decreased 2% for the first quarter of fiscal 2026 compared to the same quarter in fiscal 2025.</w:t>
      </w:r>
    </w:p>
    <w:tbl>
      <w:tblPr>
        <w:tblW w:w="6982" w:type="dxa"/>
        <w:jc w:val="left"/>
        <w:tblInd w:w="0" w:type="dxa"/>
        <w:tblLayout w:type="fixed"/>
        <w:tblCellMar>
          <w:top w:w="28" w:type="dxa"/>
          <w:left w:w="28" w:type="dxa"/>
          <w:bottom w:w="28" w:type="dxa"/>
          <w:right w:w="28" w:type="dxa"/>
        </w:tblCellMar>
      </w:tblPr>
      <w:tblGrid>
        <w:gridCol w:w="576"/>
        <w:gridCol w:w="507"/>
        <w:gridCol w:w="508"/>
        <w:gridCol w:w="256"/>
        <w:gridCol w:w="1040"/>
        <w:gridCol w:w="132"/>
        <w:gridCol w:w="132"/>
        <w:gridCol w:w="132"/>
        <w:gridCol w:w="132"/>
        <w:gridCol w:w="256"/>
        <w:gridCol w:w="1040"/>
        <w:gridCol w:w="132"/>
        <w:gridCol w:w="109"/>
        <w:gridCol w:w="109"/>
        <w:gridCol w:w="109"/>
        <w:gridCol w:w="270"/>
        <w:gridCol w:w="271"/>
        <w:gridCol w:w="572"/>
        <w:gridCol w:w="109"/>
        <w:gridCol w:w="109"/>
        <w:gridCol w:w="109"/>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391" w:type="dxa"/>
            <w:gridSpan w:val="21"/>
            <w:tcBorders/>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Complementary</w:t>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194,217</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176,281 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72,260</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Revenue in the Complementary segment increased 10.2% and cost of revenue increased 7.6% for the first quarter of fiscal 2026 compared to the same quarter last fiscal year. Complementary revenue less deconversion revenue in both quarters, which totaled $1,876 for the first quarter of fiscal 2026 and $473 for the first quarter of fiscal 2025, results in a 9.4% increase quarter over quarter. This increase was primarily driven by organic growth in hosting revenue as new and existing clients continue to migrate to our private cloud and processing volumes expanded and Jack Henry digital revenue (including Banno) from a higher number of active users and the ramping up of add-on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products. Complementary cost of revenue less deconversion costs in both quarters, which totaled $308 for the first quarter of fiscal 2026 and $60 for the first quarter of fiscal 2025, results in a 7.3% increase quarter over quarter. This increase was primarily driven by higher direct costs generally consistent with increases in related lines of revenue and increased amortization of intangibles. Complementary cost of revenue as a percentage of Complementary revenue decreased 1% for the first quarter of fiscal 2026 compared to the same quarter in fiscal 2025.</w:t>
      </w:r>
    </w:p>
    <w:tbl>
      <w:tblPr>
        <w:tblW w:w="7399" w:type="dxa"/>
        <w:jc w:val="left"/>
        <w:tblInd w:w="0" w:type="dxa"/>
        <w:tblLayout w:type="fixed"/>
        <w:tblCellMar>
          <w:top w:w="28" w:type="dxa"/>
          <w:left w:w="28" w:type="dxa"/>
          <w:bottom w:w="28" w:type="dxa"/>
          <w:right w:w="28" w:type="dxa"/>
        </w:tblCellMar>
      </w:tblPr>
      <w:tblGrid>
        <w:gridCol w:w="727"/>
        <w:gridCol w:w="640"/>
        <w:gridCol w:w="642"/>
        <w:gridCol w:w="278"/>
        <w:gridCol w:w="990"/>
        <w:gridCol w:w="143"/>
        <w:gridCol w:w="143"/>
        <w:gridCol w:w="143"/>
        <w:gridCol w:w="143"/>
        <w:gridCol w:w="278"/>
        <w:gridCol w:w="990"/>
        <w:gridCol w:w="143"/>
        <w:gridCol w:w="109"/>
        <w:gridCol w:w="109"/>
        <w:gridCol w:w="109"/>
        <w:gridCol w:w="270"/>
        <w:gridCol w:w="271"/>
        <w:gridCol w:w="572"/>
        <w:gridCol w:w="109"/>
        <w:gridCol w:w="109"/>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5390" w:type="dxa"/>
            <w:gridSpan w:val="21"/>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Corporate and Other</w:t>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24,334</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84,509</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Revenue classified in the Corporate and Other segment includes revenues from other products and services and hardware not specifically attributed to the other three segments. Revenue in the Corporate and Other segment increased 31.6% for the first quarter of fiscal 2026 compared to the same quarter last fiscal year. Corporate and Other revenue less deconversion revenue in both quarters, which totaled $48 for the first quarter of fiscal 2026 and $23 for the first quarter of fiscal 2025, results in a 31.5% increase quarter over quarter. This increase was primarily due to the increase in user group revenue related to the timing of our Connect conference quarter over quarter. Cost of revenue for the Corporate and Other segment includes operating expenses not directly attributable to the other three segments. The Corporate and Other cost of revenue in the first quarter of fiscal 2026 increased 2.7% when compared to the prior fiscal year quarter. This increase was primarily due to higher cloud consumption costs and increased compensation cost primarily related to headcount increases over the trailing twelve months. Deconversion and one-time costs did not significantly affect Corporate and Other cost of revenue quarter over quarter.</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 xml:space="preserve">The Company's cash and cash equivalents decreased to $36,239 at September 30, 2025, from $101,953 at June 30, 2025. </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The following table summarizes net cash from operating activities in the statement of cash flows:</w:t>
      </w:r>
    </w:p>
    <w:tbl>
      <w:tblPr>
        <w:tblW w:w="6383" w:type="dxa"/>
        <w:jc w:val="left"/>
        <w:tblInd w:w="0" w:type="dxa"/>
        <w:tblLayout w:type="fixed"/>
        <w:tblCellMar>
          <w:top w:w="28" w:type="dxa"/>
          <w:left w:w="28" w:type="dxa"/>
          <w:bottom w:w="28" w:type="dxa"/>
          <w:right w:w="28" w:type="dxa"/>
        </w:tblCellMar>
      </w:tblPr>
      <w:tblGrid>
        <w:gridCol w:w="1325"/>
        <w:gridCol w:w="1165"/>
        <w:gridCol w:w="1169"/>
        <w:gridCol w:w="211"/>
        <w:gridCol w:w="856"/>
        <w:gridCol w:w="109"/>
        <w:gridCol w:w="109"/>
        <w:gridCol w:w="109"/>
        <w:gridCol w:w="109"/>
        <w:gridCol w:w="211"/>
        <w:gridCol w:w="856"/>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30,</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143,986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93,389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receivables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deferred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other assets and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(86,690)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120,590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116,896 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Arial;sans-serif" w:hAnsi="Arial;sans-serif"/>
          <w:b w:val="false"/>
          <w:color w:val="000000"/>
          <w:sz w:val="16"/>
        </w:rPr>
      </w:pPr>
      <w:r>
        <w:rPr>
          <w:rFonts w:ascii="Arial;sans-serif" w:hAnsi="Arial;sans-serif"/>
          <w:b w:val="false"/>
          <w:color w:val="000000"/>
          <w:sz w:val="16"/>
        </w:rPr>
        <w:t>*For the fiscal three months ended September 30, 2025, the change in other assets and liabilities includes the change in accrued expenses of $(36,567), the change in prepaid expenses, deferred costs and other of $(34,336), and the change in income taxes of $(9,150). For the fiscal three months ended September 30, 2024, the change in other assets and liabilities includes the change in accrued expenses of $(23,067), the change in prepaid expenses, deferred costs and other of $(18,788), partially offset by the change in income taxes of $38,576.</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Cash provided by operating activities for the first three months of fiscal 2026 increased 3% compared to the same period last year. Cash from operations is primarily used to repay debt, to pay dividends, to repurchase stock, for capital expenditures, and for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Cash used in investing activities for the first three months of fiscal 2026 totaled $98,503 and included: $48,203 for the ongoing enhancement and development of existing and new product and service offerings; $42,390 for an acquisition; capital expenditures for facilities and equipment of $8,880; the purchase of investments of $6,000, and $1,509 for the purchase and development of internal use software. Cash uses were partially offset by proceeds from the sale of assets of $7,479 and proceeds from investments of $1,000. Cash used in investing activities for the first three months of fiscal 2025 totaled $58,736 and included: $42,259 for the development of software; $12,801 for capital expenditures; $2,676 for the purchase and development of internal use software; and $2,000 for the purchase of investments. Cash uses were partially offset by proceeds from investments of $1,000.</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Financing activities used cash of $87,801 for the first three months of fiscal 2026 and included: $62,045 for the purchase of treasury stock; dividends paid to stockholders of $42,145; and $3,611 net cash outflow from the issuance of stock and tax withholding related to stock-based compensation. Cash uses were partially offset by borrowings on credit facilities of $20,000. Financing activities used cash of $53,232 in the first three months of fiscal 2025 and included: $85,000 for the repayments on credit facilities; $40,104 for the payment of dividends; and $3,128 net cash outflow from the issuance of stock and tax withholding related to stock-based compensation. Cash uses were partially offset by borrowings on credit facilities of $75,000.</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Capital Requirements and Resources</w:t>
      </w:r>
    </w:p>
    <w:p>
      <w:pPr>
        <w:pStyle w:val="TextBody"/>
        <w:bidi w:val="0"/>
        <w:spacing w:lineRule="auto" w:line="288" w:before="100" w:after="283"/>
        <w:jc w:val="both"/>
        <w:rPr/>
      </w:pPr>
      <w:r>
        <w:rPr>
          <w:rFonts w:ascii="Arial;sans-serif" w:hAnsi="Arial;sans-serif"/>
          <w:b w:val="false"/>
          <w:color w:val="000000"/>
          <w:sz w:val="20"/>
        </w:rPr>
        <w:t>The Company generally uses existing resources and funds generated from operations to meet its capital requirements. Capital expenditures totaling $8,880 and $12,801 for the fiscal three months ended September 30, 2025, and September 30, 2024, respectively, were made primarily for additional equipment and the improvement of existing facilities. These additions were funded from cash generated by operations. Total consolidated capital expenditures on facilities and equipment for the Company for fiscal year 2026 are expected to be between approximately $80,000 and $90,000</w:t>
      </w:r>
      <w:r>
        <w:rPr>
          <w:color w:val="000000"/>
        </w:rPr>
        <w:t xml:space="preserve"> </w:t>
      </w:r>
      <w:r>
        <w:rPr>
          <w:rFonts w:ascii="Arial;sans-serif" w:hAnsi="Arial;sans-serif"/>
          <w:b w:val="false"/>
          <w:color w:val="000000"/>
          <w:sz w:val="20"/>
        </w:rPr>
        <w:t xml:space="preserve">and have been or will be funded from our credit facilities and cash generated by operations.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 September 30, 2025, the Company acquired substantially all the assets of Victor for $42,390 paid in cash. The primary reason for the acquisition was to expand the Company's capabilities in the Payments-as-a-Service market. Victor is a cloud-native, API-first provider of direct-to-core embedded payments solutions.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Contractual obligations are discussed in our Annual Report on Form 10-K for the year ended June 30, 2025. There have been no material contractual obligations added for the fiscal three months ended September 30, 2025.</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September 30, 2025, there were 31,969 shares in treasury stock and the Company had the remaining authority to repurchase up to 3,022 additional shares. The total cost of treasury stock at September 30, 2025, was $1,957,269. During the first three months of fiscal 2026, the Company repurchased 389 shares. At June 30, 2025, there were 31,580 shares in treasury stock and the Company had the remaining authority to repurchase up to 3,411 additional shares. The total cost of treasury stock at June 30, 2025, was $1,895,224. During the first three months of fiscal 2025, the Company repurchased no shares.</w:t>
      </w:r>
    </w:p>
    <w:p>
      <w:pPr>
        <w:pStyle w:val="TextBody"/>
        <w:bidi w:val="0"/>
        <w:spacing w:lineRule="auto" w:line="288" w:before="100" w:after="100"/>
        <w:jc w:val="both"/>
        <w:rPr>
          <w:rFonts w:ascii="Arial;sans-serif" w:hAnsi="Arial;sans-serif"/>
          <w:b w:val="false"/>
          <w:i/>
          <w:color w:val="000000"/>
          <w:sz w:val="20"/>
        </w:rPr>
      </w:pPr>
      <w:r>
        <w:rPr>
          <w:rFonts w:ascii="Arial;sans-serif" w:hAnsi="Arial;sans-serif"/>
          <w:b w:val="false"/>
          <w:i/>
          <w:color w:val="000000"/>
          <w:sz w:val="20"/>
        </w:rPr>
        <w:t>Credit facilities</w:t>
      </w:r>
    </w:p>
    <w:p>
      <w:pPr>
        <w:pStyle w:val="TextBody"/>
        <w:bidi w:val="0"/>
        <w:spacing w:lineRule="auto" w:line="288" w:before="0" w:after="0"/>
        <w:jc w:val="both"/>
        <w:rPr/>
      </w:pPr>
      <w:r>
        <w:rPr>
          <w:rFonts w:ascii="Arial;sans-serif" w:hAnsi="Arial;sans-serif"/>
          <w:b w:val="false"/>
          <w:color w:val="000000"/>
          <w:sz w:val="20"/>
        </w:rPr>
        <w:t xml:space="preserve">On August 31, 2022, the Company entered into a five-year senior, unsecured amended and restated credit agreement. The credit agreement allows for borrowings of up to $600,000, which may be increased to $1,000,000 by the Company at any time until maturity. The credit agreement bears interest at a variable rate equal to (a) a rate based on an adjusted SOFR term rate or (b) an alternate base rate (the highest of (i) 0%, (ii) the Prime Rate for such day, (iii) the sum of the Federal Funds Effective Rate for such day </w:t>
      </w:r>
      <w:r>
        <w:rPr>
          <w:rFonts w:ascii="Arial;sans-serif" w:hAnsi="Arial;sans-serif"/>
          <w:b w:val="false"/>
          <w:i/>
          <w:color w:val="000000"/>
          <w:sz w:val="20"/>
        </w:rPr>
        <w:t xml:space="preserve">plus </w:t>
      </w:r>
      <w:r>
        <w:rPr>
          <w:rFonts w:ascii="Arial;sans-serif" w:hAnsi="Arial;sans-serif"/>
          <w:b w:val="false"/>
          <w:color w:val="000000"/>
          <w:sz w:val="20"/>
        </w:rPr>
        <w:t xml:space="preserve">0.50% per annum and (iv) the Adjusted Term SOFR Screen Rate (without giving effect to the Applicable Margin) for a one month Interest Period on such day for Dollars </w:t>
      </w:r>
      <w:r>
        <w:rPr>
          <w:rFonts w:ascii="Arial;sans-serif" w:hAnsi="Arial;sans-serif"/>
          <w:b w:val="false"/>
          <w:i/>
          <w:color w:val="000000"/>
          <w:sz w:val="20"/>
        </w:rPr>
        <w:t xml:space="preserve">plus </w:t>
      </w:r>
      <w:r>
        <w:rPr>
          <w:rFonts w:ascii="Arial;sans-serif" w:hAnsi="Arial;sans-serif"/>
          <w:b w:val="false"/>
          <w:color w:val="000000"/>
          <w:sz w:val="20"/>
        </w:rPr>
        <w:t xml:space="preserve">1.0%), </w:t>
      </w:r>
      <w:r>
        <w:rPr>
          <w:rFonts w:ascii="Arial;sans-serif" w:hAnsi="Arial;sans-serif"/>
          <w:b w:val="false"/>
          <w:i/>
          <w:color w:val="000000"/>
          <w:sz w:val="20"/>
        </w:rPr>
        <w:t>plus</w:t>
      </w:r>
      <w:r>
        <w:rPr>
          <w:color w:val="000000"/>
        </w:rPr>
        <w:t xml:space="preserve"> </w:t>
      </w:r>
      <w:r>
        <w:rPr>
          <w:rFonts w:ascii="Arial;sans-serif" w:hAnsi="Arial;sans-serif"/>
          <w:b w:val="false"/>
          <w:color w:val="000000"/>
          <w:sz w:val="20"/>
        </w:rPr>
        <w:t>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September 30, 2025, the Company was in compliance with all such covenants. The credit facility terminates August 31, 2027. There was $20,000 and $0</w:t>
      </w:r>
      <w:r>
        <w:rPr>
          <w:color w:val="000000"/>
        </w:rPr>
        <w:t xml:space="preserve"> </w:t>
      </w:r>
      <w:r>
        <w:rPr>
          <w:rFonts w:ascii="Arial;sans-serif" w:hAnsi="Arial;sans-serif"/>
          <w:b w:val="false"/>
          <w:color w:val="000000"/>
          <w:sz w:val="20"/>
        </w:rPr>
        <w:t>outstanding under the credit facility at September 30, 2025, and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b33a27d6a0044ce941dca7a02c75905_7">
        <w:r>
          <w:rPr>
            <w:rStyle w:val="InternetLink"/>
            <w:rFonts w:ascii="Arial;sans-serif" w:hAnsi="Arial;sans-serif"/>
            <w:b w:val="false"/>
            <w:color w:val="0000FF"/>
            <w:sz w:val="18"/>
            <w:u w:val="single"/>
          </w:rPr>
          <w:t>Table of Contents</w:t>
        </w:r>
      </w:hyperlink>
    </w:p>
    <w:p>
      <w:pPr>
        <w:pStyle w:val="TextBody"/>
        <w:bidi w:val="0"/>
        <w:spacing w:lineRule="auto" w:line="288" w:before="100" w:after="100"/>
        <w:jc w:val="both"/>
        <w:rPr>
          <w:rFonts w:ascii="Arial;sans-serif" w:hAnsi="Arial;sans-serif"/>
          <w:b w:val="false"/>
          <w:i/>
          <w:color w:val="000000"/>
          <w:sz w:val="20"/>
        </w:rPr>
      </w:pPr>
      <w:r>
        <w:rPr>
          <w:rFonts w:ascii="Arial;sans-serif" w:hAnsi="Arial;sans-serif"/>
          <w:b w:val="false"/>
          <w:i/>
          <w:color w:val="000000"/>
          <w:sz w:val="20"/>
        </w:rPr>
        <w:t>Other lines of credit</w:t>
      </w:r>
    </w:p>
    <w:p>
      <w:pPr>
        <w:pStyle w:val="TextBody"/>
        <w:bidi w:val="0"/>
        <w:spacing w:lineRule="auto" w:line="288" w:before="0" w:after="100"/>
        <w:jc w:val="both"/>
        <w:rPr/>
      </w:pPr>
      <w:r>
        <w:rPr>
          <w:rFonts w:ascii="Arial;sans-serif" w:hAnsi="Arial;sans-serif"/>
          <w:b w:val="false"/>
          <w:color w:val="000000"/>
          <w:sz w:val="20"/>
        </w:rPr>
        <w:t>On October 31, 2024, the Company entered into a discretionary line of credit demand note, which provides for funding of up to $50,000 and bears interest at the prime rate</w:t>
      </w:r>
      <w:r>
        <w:rPr>
          <w:color w:val="000000"/>
        </w:rPr>
        <w:t xml:space="preserve"> </w:t>
      </w:r>
      <w:r>
        <w:rPr>
          <w:rFonts w:ascii="Arial;sans-serif" w:hAnsi="Arial;sans-serif"/>
          <w:b w:val="false"/>
          <w:i/>
          <w:color w:val="000000"/>
          <w:sz w:val="20"/>
        </w:rPr>
        <w:t>less</w:t>
      </w:r>
      <w:r>
        <w:rPr>
          <w:color w:val="000000"/>
        </w:rPr>
        <w:t xml:space="preserve"> </w:t>
      </w:r>
      <w:r>
        <w:rPr>
          <w:rFonts w:ascii="Arial;sans-serif" w:hAnsi="Arial;sans-serif"/>
          <w:b w:val="false"/>
          <w:color w:val="000000"/>
          <w:sz w:val="20"/>
        </w:rPr>
        <w:t>2.0%. The note does not constitute a committed line of credit. The line of credit expired on October 31, 2025. There was no balance outstanding at September 30, 2025, or June 30, 2025.</w:t>
      </w:r>
    </w:p>
    <w:p>
      <w:pPr>
        <w:pStyle w:val="TextBody"/>
        <w:bidi w:val="0"/>
        <w:spacing w:lineRule="auto" w:line="288" w:before="100" w:after="100"/>
        <w:jc w:val="both"/>
        <w:rPr/>
      </w:pPr>
      <w:r>
        <w:rPr>
          <w:rFonts w:ascii="Arial;sans-serif" w:hAnsi="Arial;sans-serif"/>
          <w:b w:val="false"/>
          <w:color w:val="000000"/>
          <w:sz w:val="20"/>
        </w:rPr>
        <w:t xml:space="preserve">On July 18, 2025, the Company entered into an unsecured committed revolving line of credit facility with a commercial bank in the amount of $50,000, which bears interest at the prime rate </w:t>
      </w:r>
      <w:r>
        <w:rPr>
          <w:rFonts w:ascii="Arial;sans-serif" w:hAnsi="Arial;sans-serif"/>
          <w:b w:val="false"/>
          <w:i/>
          <w:color w:val="000000"/>
          <w:sz w:val="20"/>
        </w:rPr>
        <w:t>less</w:t>
      </w:r>
      <w:r>
        <w:rPr>
          <w:color w:val="000000"/>
        </w:rPr>
        <w:t xml:space="preserve"> </w:t>
      </w:r>
      <w:r>
        <w:rPr>
          <w:rFonts w:ascii="Arial;sans-serif" w:hAnsi="Arial;sans-serif"/>
          <w:b w:val="false"/>
          <w:color w:val="000000"/>
          <w:sz w:val="20"/>
        </w:rPr>
        <w:t xml:space="preserve">1.0%. The line of credit expires on July 17, 2026. There was no balance outstanding at September 30, 2025. </w:t>
      </w:r>
    </w:p>
    <w:p>
      <w:pPr>
        <w:pStyle w:val="TextBody"/>
        <w:bidi w:val="0"/>
        <w:spacing w:before="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Dollar amounts in this item are in thousands.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clients and interest risk on outstanding debt. We do not currently use any derivative financial instruments. We actively monitor these risks through a variety of controlled procedures involving senior management.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Based on the controls in place and the credit worthiness of the client base, we believe the credit risk associated with the extension of credit to our clients will not have a material adverse effect on our consolidated financial position, results of operations, or cash flows.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had $20,000 outstanding debt with variable interest rates as of September 30, 2025, and a 1% increase in our borrowing rate would increase our annual interest expense by $200.</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As of the end of the period covered by this Quarterly Report on Form 10-Q, an evaluation was carried out under the supervision and with the participation of our management, including the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pStyle w:val="TextBody"/>
        <w:bidi w:val="0"/>
        <w:spacing w:lineRule="auto" w:line="288" w:before="160" w:after="283"/>
        <w:jc w:val="both"/>
        <w:rPr>
          <w:rFonts w:ascii="Arial;sans-serif" w:hAnsi="Arial;sans-serif"/>
          <w:b w:val="false"/>
          <w:color w:val="000000"/>
          <w:sz w:val="20"/>
          <w:u w:val="single"/>
        </w:rPr>
      </w:pPr>
      <w:r>
        <w:rPr>
          <w:rFonts w:ascii="Arial;sans-serif" w:hAnsi="Arial;sans-serif"/>
          <w:b w:val="false"/>
          <w:color w:val="000000"/>
          <w:sz w:val="20"/>
          <w:u w:val="single"/>
        </w:rPr>
        <w:t>Changes in Internal Control over Financial Reporting</w:t>
      </w:r>
    </w:p>
    <w:p>
      <w:pPr>
        <w:pStyle w:val="TextBody"/>
        <w:bidi w:val="0"/>
        <w:spacing w:lineRule="auto" w:line="288" w:before="90" w:after="283"/>
        <w:jc w:val="both"/>
        <w:rPr>
          <w:rFonts w:ascii="Arial;sans-serif" w:hAnsi="Arial;sans-serif"/>
          <w:b w:val="false"/>
          <w:color w:val="000000"/>
          <w:sz w:val="20"/>
        </w:rPr>
      </w:pPr>
      <w:r>
        <w:rPr>
          <w:rFonts w:ascii="Arial;sans-serif" w:hAnsi="Arial;sans-serif"/>
          <w:b w:val="false"/>
          <w:color w:val="000000"/>
          <w:sz w:val="20"/>
        </w:rPr>
        <w:t>During the fiscal quarter ended September 30, 2025, there were no changes in the Company's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pStyle w:val="TextBody"/>
        <w:bidi w:val="0"/>
        <w:spacing w:before="9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The following shares of the Company were repurchased during the quarter ended September 30, 2025:</w:t>
      </w:r>
    </w:p>
    <w:tbl>
      <w:tblPr>
        <w:tblW w:w="10205" w:type="dxa"/>
        <w:jc w:val="left"/>
        <w:tblInd w:w="0" w:type="dxa"/>
        <w:tblLayout w:type="fixed"/>
        <w:tblCellMar>
          <w:top w:w="28" w:type="dxa"/>
          <w:left w:w="28" w:type="dxa"/>
          <w:bottom w:w="28" w:type="dxa"/>
          <w:right w:w="28" w:type="dxa"/>
        </w:tblCellMar>
      </w:tblPr>
      <w:tblGrid>
        <w:gridCol w:w="950"/>
        <w:gridCol w:w="387"/>
        <w:gridCol w:w="388"/>
        <w:gridCol w:w="597"/>
        <w:gridCol w:w="492"/>
        <w:gridCol w:w="494"/>
        <w:gridCol w:w="109"/>
        <w:gridCol w:w="109"/>
        <w:gridCol w:w="109"/>
        <w:gridCol w:w="249"/>
        <w:gridCol w:w="889"/>
        <w:gridCol w:w="129"/>
        <w:gridCol w:w="109"/>
        <w:gridCol w:w="109"/>
        <w:gridCol w:w="109"/>
        <w:gridCol w:w="773"/>
        <w:gridCol w:w="710"/>
        <w:gridCol w:w="712"/>
        <w:gridCol w:w="109"/>
        <w:gridCol w:w="109"/>
        <w:gridCol w:w="109"/>
        <w:gridCol w:w="924"/>
        <w:gridCol w:w="630"/>
        <w:gridCol w:w="900"/>
      </w:tblGrid>
      <w:tr>
        <w:trPr/>
        <w:tc>
          <w:tcPr>
            <w:tcW w:w="95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color w:val="000000"/>
                <w:sz w:val="20"/>
              </w:rPr>
            </w:pPr>
            <w:r>
              <w:rPr>
                <w:rFonts w:ascii="Arial;sans-serif" w:hAnsi="Arial;sans-serif"/>
                <w:b/>
                <w:color w:val="000000"/>
                <w:sz w:val="20"/>
              </w:rPr>
              <w:t>Average Price of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color w:val="000000"/>
                <w:sz w:val="20"/>
              </w:rPr>
            </w:pPr>
            <w:r>
              <w:rPr>
                <w:rFonts w:ascii="Arial;sans-serif" w:hAnsi="Arial;sans-serif"/>
                <w:b/>
                <w:color w:val="000000"/>
                <w:sz w:val="20"/>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cMar>
              <w:top w:w="0" w:type="dxa"/>
              <w:left w:w="0" w:type="dxa"/>
              <w:bottom w:w="0" w:type="dxa"/>
              <w:right w:w="0" w:type="dxa"/>
            </w:tcMar>
            <w:vAlign w:val="center"/>
          </w:tcPr>
          <w:p>
            <w:pPr>
              <w:pStyle w:val="TableContents"/>
              <w:bidi w:val="0"/>
              <w:spacing w:lineRule="auto" w:line="240" w:before="100" w:after="100"/>
              <w:jc w:val="center"/>
              <w:rPr/>
            </w:pPr>
            <w:r>
              <w:rPr>
                <w:rFonts w:ascii="Arial;sans-serif" w:hAnsi="Arial;sans-serif"/>
                <w:b/>
                <w:color w:val="000000"/>
                <w:sz w:val="20"/>
              </w:rPr>
              <w:t>Maximum Number of Shares that May Yet Be Purchased Under the Plans</w:t>
            </w:r>
            <w:r>
              <w:rPr>
                <w:color w:val="000000"/>
              </w:rPr>
              <w:t xml:space="preserve"> </w:t>
            </w:r>
            <w:r>
              <w:rPr>
                <w:rFonts w:ascii="Arial;sans-serif" w:hAnsi="Arial;sans-serif"/>
                <w:b/>
                <w:color w:val="000000"/>
                <w:sz w:val="13"/>
              </w:rPr>
              <w:t>(1)</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July 1 — July 31, 2025</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3,411,018 </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August 1 — August 31, 2025</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175,204 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175,204 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3,235,814 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September 1 — September 30, 2025</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214,188 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214,188 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3,021,626 </w:t>
            </w:r>
          </w:p>
        </w:tc>
        <w:tc>
          <w:tcPr>
            <w:tcW w:w="9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389,392</w:t>
            </w: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159.34</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389,392</w:t>
            </w:r>
            <w:r>
              <w:rPr>
                <w:color w:val="000000"/>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3,021,626</w:t>
            </w:r>
            <w:r>
              <w:rPr>
                <w:color w:val="000000"/>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Total stock repurchase authorizations approved by the Company's Board of Directors as of May 14, 2021, were for 35,000,000 shares. Under these authorizations, the Company has repurchased and not re-issued 31,968,990 shares and has repurchased and re-issued 9,384 shares. These authorizations have no specific dollar or share price targets and no expiration dates.</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Rule 10b-5(1) Trading Plans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fiscal three months ended September 30, 2025, no director or officer of the Company adopted or terminated a “Rule 10b5-1 trading arrangement” or “non-Rule 10b5-1 trading arrangement,” as each term is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before="0" w:after="0"/>
        <w:ind w:left="0" w:right="0" w:hanging="1440"/>
        <w:jc w:val="left"/>
        <w:rPr/>
      </w:pPr>
      <w:r>
        <w:rPr/>
      </w:r>
    </w:p>
    <w:p>
      <w:pPr>
        <w:pStyle w:val="TextBody"/>
        <w:bidi w:val="0"/>
        <w:spacing w:lineRule="auto" w:line="256" w:before="0" w:after="0"/>
        <w:ind w:left="0" w:right="0" w:hanging="1440"/>
        <w:jc w:val="left"/>
        <w:rPr/>
      </w:pPr>
      <w:r>
        <w:rPr>
          <w:rFonts w:ascii="Arial;sans-serif" w:hAnsi="Arial;sans-serif"/>
          <w:b w:val="false"/>
          <w:color w:val="000000"/>
          <w:sz w:val="20"/>
        </w:rPr>
        <w:t>31.1    </w:t>
      </w:r>
      <w:hyperlink w:anchor="jkhy-20250930xex311.htm">
        <w:r>
          <w:rPr>
            <w:rStyle w:val="InternetLink"/>
            <w:rFonts w:ascii="Arial;sans-serif" w:hAnsi="Arial;sans-serif"/>
            <w:b w:val="false"/>
            <w:color w:val="0000FF"/>
            <w:sz w:val="20"/>
            <w:u w:val="single"/>
          </w:rPr>
          <w:t>Certification of the Chief Executive Officer.</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pPr>
      <w:r>
        <w:rPr>
          <w:rFonts w:ascii="Arial;sans-serif" w:hAnsi="Arial;sans-serif"/>
          <w:b w:val="false"/>
          <w:color w:val="000000"/>
          <w:sz w:val="20"/>
        </w:rPr>
        <w:t>31.2    </w:t>
      </w:r>
      <w:hyperlink w:anchor="jkhy-20250930xex312.htm">
        <w:r>
          <w:rPr>
            <w:rStyle w:val="InternetLink"/>
            <w:rFonts w:ascii="Arial;sans-serif" w:hAnsi="Arial;sans-serif"/>
            <w:b w:val="false"/>
            <w:color w:val="0000FF"/>
            <w:sz w:val="20"/>
            <w:u w:val="single"/>
          </w:rPr>
          <w:t>Certification of the Chief Financial Officer.</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pPr>
      <w:r>
        <w:rPr>
          <w:rFonts w:ascii="Arial;sans-serif" w:hAnsi="Arial;sans-serif"/>
          <w:b w:val="false"/>
          <w:color w:val="000000"/>
          <w:sz w:val="20"/>
        </w:rPr>
        <w:t>32.1    </w:t>
      </w:r>
      <w:hyperlink w:anchor="jkhy-20250930xex321.htm">
        <w:r>
          <w:rPr>
            <w:rStyle w:val="InternetLink"/>
            <w:rFonts w:ascii="Arial;sans-serif" w:hAnsi="Arial;sans-serif"/>
            <w:b w:val="false"/>
            <w:color w:val="0000FF"/>
            <w:sz w:val="20"/>
            <w:u w:val="single"/>
          </w:rPr>
          <w:t>Certification of the Chief Executive Officer Pursuant to 18 U.S.C. Section 1350.</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pPr>
      <w:r>
        <w:rPr>
          <w:rFonts w:ascii="Arial;sans-serif" w:hAnsi="Arial;sans-serif"/>
          <w:b w:val="false"/>
          <w:color w:val="000000"/>
          <w:sz w:val="20"/>
        </w:rPr>
        <w:t>32.2    </w:t>
      </w:r>
      <w:hyperlink w:anchor="jkhy-20250930xex322.htm">
        <w:r>
          <w:rPr>
            <w:rStyle w:val="InternetLink"/>
            <w:rFonts w:ascii="Arial;sans-serif" w:hAnsi="Arial;sans-serif"/>
            <w:b w:val="false"/>
            <w:color w:val="0000FF"/>
            <w:sz w:val="20"/>
            <w:u w:val="single"/>
          </w:rPr>
          <w:t>Certification of the Chief Financial Officer Pursuant to 18 U.S.C. Section 1350.</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101.INS*    XBRL Instance Document- the instance document does not appear in the Interactive Data File as its XBRL tags are embedded within the Inline XBRL document</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101.SCH*    XBRL Taxonomy Extension Schema Document</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101.CAL*    XBRL Taxonomy Extension Calculation Linkbase Document</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101.DEF*    XBRL Taxonomy Extension Definition Linkbase Document</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101.LAB*    XBRL Taxonomy Extension Label Linkbase Document</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101.PRE*    XBRL Taxonomy Extension Presentation Linkbase Document</w:t>
      </w:r>
    </w:p>
    <w:p>
      <w:pPr>
        <w:pStyle w:val="TextBody"/>
        <w:bidi w:val="0"/>
        <w:spacing w:before="0" w:after="0"/>
        <w:ind w:left="0" w:right="0" w:hanging="1440"/>
        <w:jc w:val="left"/>
        <w:rPr/>
      </w:pPr>
      <w:r>
        <w:rPr/>
      </w:r>
    </w:p>
    <w:p>
      <w:pPr>
        <w:pStyle w:val="TextBody"/>
        <w:bidi w:val="0"/>
        <w:spacing w:lineRule="auto" w:line="256" w:before="0" w:after="0"/>
        <w:ind w:left="0" w:right="0" w:hanging="1440"/>
        <w:jc w:val="left"/>
        <w:rPr>
          <w:rFonts w:ascii="Arial;sans-serif" w:hAnsi="Arial;sans-serif"/>
          <w:b w:val="false"/>
          <w:color w:val="000000"/>
          <w:sz w:val="20"/>
        </w:rPr>
      </w:pPr>
      <w:r>
        <w:rPr>
          <w:rFonts w:ascii="Arial;sans-serif" w:hAnsi="Arial;sans-serif"/>
          <w:b w:val="false"/>
          <w:color w:val="000000"/>
          <w:sz w:val="20"/>
        </w:rPr>
        <w:t>104*    Cover Page Interactive Data File (formatted as Inline XBRL and contained in Exhibit 101)</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Furnished with this quarterly report on Form 10-Q are the following documents formatted in XBRL (Extensible Business Reporting Language): (i) the Condensed Consolidated Balance Sheets at September 30, 2025, and June 30, 2025, (ii) the Condensed Consolidated Statements of Income for the three months ended September 30, 2025, and 2024, (iii) the Condensed Consolidated Statements of Changes in Shareholders' Equity for the three months ended September 30, 2025, and 2024, (iv) the Condensed Consolidated Statements of Cash Flows for the three months ended September 30, 2025, and 2024, and (v)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00"/>
        <w:jc w:val="center"/>
        <w:rPr>
          <w:rFonts w:ascii="Arial;sans-serif" w:hAnsi="Arial;sans-serif"/>
          <w:b w:val="false"/>
          <w:color w:val="000000"/>
          <w:sz w:val="20"/>
        </w:rPr>
      </w:pPr>
      <w:r>
        <w:rPr>
          <w:rFonts w:ascii="Arial;sans-serif" w:hAnsi="Arial;sans-serif"/>
          <w:b w:val="false"/>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quarterly report on Form 10-Q to be signed on its behalf by the undersigned, thereunto duly authorized.</w:t>
      </w:r>
    </w:p>
    <w:tbl>
      <w:tblPr>
        <w:tblW w:w="6040" w:type="dxa"/>
        <w:jc w:val="left"/>
        <w:tblInd w:w="0" w:type="dxa"/>
        <w:tblLayout w:type="fixed"/>
        <w:tblCellMar>
          <w:top w:w="28" w:type="dxa"/>
          <w:left w:w="28" w:type="dxa"/>
          <w:bottom w:w="28" w:type="dxa"/>
          <w:right w:w="28" w:type="dxa"/>
        </w:tblCellMar>
      </w:tblPr>
      <w:tblGrid>
        <w:gridCol w:w="211"/>
        <w:gridCol w:w="186"/>
        <w:gridCol w:w="188"/>
        <w:gridCol w:w="564"/>
        <w:gridCol w:w="564"/>
        <w:gridCol w:w="566"/>
        <w:gridCol w:w="109"/>
        <w:gridCol w:w="109"/>
        <w:gridCol w:w="109"/>
        <w:gridCol w:w="1005"/>
        <w:gridCol w:w="1005"/>
        <w:gridCol w:w="142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JACK HENRY &amp; ASSOCIATES,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Gregory R. Adelson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Gregory R. Adelson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Mimi L. Carsley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Mimi L. Carsley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ind w:left="0" w:right="0" w:firstLine="540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80" w:after="80"/>
        <w:jc w:val="left"/>
        <w:rPr>
          <w:rFonts w:ascii="Arial;sans-serif" w:hAnsi="Arial;sans-serif"/>
          <w:b w:val="false"/>
          <w:color w:val="000000"/>
          <w:sz w:val="20"/>
        </w:rPr>
      </w:pPr>
      <w:r>
        <w:rPr>
          <w:rFonts w:ascii="Arial;sans-serif" w:hAnsi="Arial;sans-serif"/>
          <w:b w:val="false"/>
          <w:color w:val="000000"/>
          <w:sz w:val="20"/>
        </w:rPr>
        <w:t>EXHIBIT 31.1</w:t>
      </w:r>
    </w:p>
    <w:p>
      <w:pPr>
        <w:pStyle w:val="TextBody"/>
        <w:bidi w:val="0"/>
        <w:spacing w:lineRule="auto" w:line="288" w:before="80" w:after="8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80" w:after="80"/>
        <w:jc w:val="left"/>
        <w:rPr>
          <w:rFonts w:ascii="Arial;sans-serif" w:hAnsi="Arial;sans-serif"/>
          <w:b w:val="false"/>
          <w:color w:val="000000"/>
          <w:sz w:val="20"/>
        </w:rPr>
      </w:pPr>
      <w:r>
        <w:rPr>
          <w:rFonts w:ascii="Arial;sans-serif" w:hAnsi="Arial;sans-serif"/>
          <w:b w:val="false"/>
          <w:color w:val="000000"/>
          <w:sz w:val="20"/>
        </w:rPr>
        <w:t>I, Gregory R. Adelson, certify that: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Jack Henry &amp; Associates, Inc.;</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November 7, 2025 </w:t>
      </w:r>
    </w:p>
    <w:tbl>
      <w:tblPr>
        <w:tblW w:w="284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35"/>
        <w:gridCol w:w="635"/>
        <w:gridCol w:w="9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Gregory R. Adelson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Gregory R. Adelson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80" w:after="80"/>
        <w:jc w:val="left"/>
        <w:rPr>
          <w:rFonts w:ascii="Arial;sans-serif" w:hAnsi="Arial;sans-serif"/>
          <w:b w:val="false"/>
          <w:color w:val="000000"/>
          <w:sz w:val="20"/>
        </w:rPr>
      </w:pPr>
      <w:r>
        <w:rPr>
          <w:rFonts w:ascii="Arial;sans-serif" w:hAnsi="Arial;sans-serif"/>
          <w:b w:val="false"/>
          <w:color w:val="000000"/>
          <w:sz w:val="20"/>
        </w:rPr>
        <w:t>EXHIBIT 31.2</w:t>
      </w:r>
    </w:p>
    <w:p>
      <w:pPr>
        <w:pStyle w:val="TextBody"/>
        <w:bidi w:val="0"/>
        <w:spacing w:lineRule="auto" w:line="288" w:before="80" w:after="8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80" w:after="80"/>
        <w:jc w:val="left"/>
        <w:rPr>
          <w:rFonts w:ascii="Arial;sans-serif" w:hAnsi="Arial;sans-serif"/>
          <w:b w:val="false"/>
          <w:color w:val="000000"/>
          <w:sz w:val="20"/>
        </w:rPr>
      </w:pPr>
      <w:r>
        <w:rPr>
          <w:rFonts w:ascii="Arial;sans-serif" w:hAnsi="Arial;sans-serif"/>
          <w:b w:val="false"/>
          <w:color w:val="000000"/>
          <w:sz w:val="20"/>
        </w:rPr>
        <w:t>I, Mimi L. Carsley, certify that: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Jack Henry &amp; Associates, Inc.;</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November 7, 2025 </w:t>
      </w:r>
    </w:p>
    <w:tbl>
      <w:tblPr>
        <w:tblW w:w="27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09"/>
        <w:gridCol w:w="609"/>
        <w:gridCol w:w="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Mimi L. Carsley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Mimi L. Carsley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of the Chief Executive Officer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Solely for the purposes of complying with 18 U.S.C. Section 1350, I, the undersigned Chief Executive Officer of Jack Henry &amp; Associates, Inc. (the "Company"), hereby certify that, to my knowledge, the Quarterly Report on Form 10-Q of the Company for the three month period ended September 30, 2025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November 7, 2025 </w:t>
      </w:r>
    </w:p>
    <w:tbl>
      <w:tblPr>
        <w:tblW w:w="28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48"/>
        <w:gridCol w:w="648"/>
        <w:gridCol w:w="9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Gregory R. Adelson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Gregory R. Adelson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0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pStyle w:val="TextBody"/>
        <w:bidi w:val="0"/>
        <w:spacing w:before="100" w:after="20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of the Chief Financial Officer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Solely for the purposes of complying with 18 U.S.C. Section 1350, I, the undersigned Chief Financial Officer of Jack Henry &amp; Associates, Inc. (the "Company"), hereby certify that, to my knowledge, the Quarterly Report on Form 10-Q of the Company for the three month period ended September 30, 2025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November 7, 2025 </w:t>
      </w:r>
    </w:p>
    <w:tbl>
      <w:tblPr>
        <w:tblW w:w="27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09"/>
        <w:gridCol w:w="609"/>
        <w:gridCol w:w="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Mimi L. Carsley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Mimi L. Carsley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0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15114</Words>
  <Characters>84577</Characters>
  <CharactersWithSpaces>98903</CharactersWithSpaces>
  <Paragraphs>1536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