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708660</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657860</wp:posOffset>
            </wp:positionV>
            <wp:extent cx="713359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336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3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8, 2026</w:t>
      </w:r>
    </w:p>
    <w:p>
      <w:pPr>
        <w:spacing w:after="0" w:line="200" w:lineRule="exact"/>
        <w:rPr>
          <w:sz w:val="24"/>
          <w:szCs w:val="24"/>
          <w:color w:val="auto"/>
        </w:rPr>
      </w:pP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JACK HENRY &amp; ASSOCIATES, INC.</w:t>
      </w:r>
    </w:p>
    <w:p>
      <w:pPr>
        <w:spacing w:after="0" w:line="102" w:lineRule="exact"/>
        <w:rPr>
          <w:sz w:val="24"/>
          <w:szCs w:val="24"/>
          <w:color w:val="auto"/>
        </w:rPr>
      </w:pPr>
    </w:p>
    <w:tbl>
      <w:tblPr>
        <w:tblLayout w:type="fixed"/>
        <w:tblInd w:w="380" w:type="dxa"/>
        <w:tblCellMar>
          <w:top w:w="0" w:type="dxa"/>
          <w:left w:w="0" w:type="dxa"/>
          <w:bottom w:w="0" w:type="dxa"/>
          <w:right w:w="0" w:type="dxa"/>
        </w:tblCellMar>
      </w:tblPr>
      <w:tr>
        <w:trPr>
          <w:trHeight w:val="235"/>
        </w:trPr>
        <w:tc>
          <w:tcPr>
            <w:tcW w:w="1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0" w:type="dxa"/>
            <w:vAlign w:val="bottom"/>
            <w:gridSpan w:val="4"/>
          </w:tcPr>
          <w:p>
            <w:pPr>
              <w:jc w:val="center"/>
              <w:ind w:left="351"/>
              <w:spacing w:after="0"/>
              <w:rPr>
                <w:sz w:val="20"/>
                <w:szCs w:val="20"/>
                <w:color w:val="auto"/>
              </w:rPr>
            </w:pPr>
            <w:r>
              <w:rPr>
                <w:rFonts w:ascii="Arial" w:cs="Arial" w:eastAsia="Arial" w:hAnsi="Arial"/>
                <w:sz w:val="18"/>
                <w:szCs w:val="18"/>
                <w:color w:val="auto"/>
                <w:w w:val="98"/>
              </w:rPr>
              <w:t>(Exact name of Registrant as specified in its Charter)</w:t>
            </w:r>
          </w:p>
        </w:tc>
        <w:tc>
          <w:tcPr>
            <w:tcW w:w="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gridSpan w:val="3"/>
          </w:tcPr>
          <w:p>
            <w:pPr>
              <w:jc w:val="center"/>
              <w:ind w:left="671"/>
              <w:spacing w:after="0"/>
              <w:rPr>
                <w:sz w:val="20"/>
                <w:szCs w:val="20"/>
                <w:color w:val="auto"/>
              </w:rPr>
            </w:pPr>
            <w:r>
              <w:rPr>
                <w:rFonts w:ascii="Arial" w:cs="Arial" w:eastAsia="Arial" w:hAnsi="Arial"/>
                <w:sz w:val="18"/>
                <w:szCs w:val="18"/>
                <w:color w:val="auto"/>
                <w:w w:val="97"/>
              </w:rPr>
              <w:t>Delaware</w:t>
            </w:r>
          </w:p>
        </w:tc>
        <w:tc>
          <w:tcPr>
            <w:tcW w:w="1160" w:type="dxa"/>
            <w:vAlign w:val="bottom"/>
          </w:tcPr>
          <w:p>
            <w:pPr>
              <w:spacing w:after="0"/>
              <w:rPr>
                <w:sz w:val="18"/>
                <w:szCs w:val="18"/>
                <w:color w:val="auto"/>
              </w:rPr>
            </w:pPr>
          </w:p>
        </w:tc>
        <w:tc>
          <w:tcPr>
            <w:tcW w:w="1800" w:type="dxa"/>
            <w:vAlign w:val="bottom"/>
            <w:gridSpan w:val="2"/>
          </w:tcPr>
          <w:p>
            <w:pPr>
              <w:jc w:val="center"/>
              <w:ind w:left="1071"/>
              <w:spacing w:after="0"/>
              <w:rPr>
                <w:sz w:val="20"/>
                <w:szCs w:val="20"/>
                <w:color w:val="auto"/>
              </w:rPr>
            </w:pPr>
            <w:r>
              <w:rPr>
                <w:rFonts w:ascii="Arial" w:cs="Arial" w:eastAsia="Arial" w:hAnsi="Arial"/>
                <w:sz w:val="18"/>
                <w:szCs w:val="18"/>
                <w:color w:val="auto"/>
                <w:w w:val="96"/>
              </w:rPr>
              <w:t>0-14112</w:t>
            </w:r>
          </w:p>
        </w:tc>
        <w:tc>
          <w:tcPr>
            <w:tcW w:w="1840" w:type="dxa"/>
            <w:vAlign w:val="bottom"/>
          </w:tcPr>
          <w:p>
            <w:pPr>
              <w:spacing w:after="0"/>
              <w:rPr>
                <w:sz w:val="18"/>
                <w:szCs w:val="18"/>
                <w:color w:val="auto"/>
              </w:rPr>
            </w:pPr>
          </w:p>
        </w:tc>
        <w:tc>
          <w:tcPr>
            <w:tcW w:w="2680" w:type="dxa"/>
            <w:vAlign w:val="bottom"/>
            <w:gridSpan w:val="3"/>
          </w:tcPr>
          <w:p>
            <w:pPr>
              <w:jc w:val="right"/>
              <w:ind w:right="820"/>
              <w:spacing w:after="0"/>
              <w:rPr>
                <w:sz w:val="20"/>
                <w:szCs w:val="20"/>
                <w:color w:val="auto"/>
              </w:rPr>
            </w:pPr>
            <w:r>
              <w:rPr>
                <w:rFonts w:ascii="Arial" w:cs="Arial" w:eastAsia="Arial" w:hAnsi="Arial"/>
                <w:sz w:val="18"/>
                <w:szCs w:val="18"/>
                <w:color w:val="auto"/>
              </w:rPr>
              <w:t>43-1128385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gridSpan w:val="4"/>
            <w:vMerge w:val="restart"/>
          </w:tcPr>
          <w:p>
            <w:pPr>
              <w:jc w:val="center"/>
              <w:ind w:right="311"/>
              <w:spacing w:after="0"/>
              <w:rPr>
                <w:sz w:val="20"/>
                <w:szCs w:val="20"/>
                <w:color w:val="auto"/>
              </w:rPr>
            </w:pPr>
            <w:r>
              <w:rPr>
                <w:rFonts w:ascii="Arial" w:cs="Arial" w:eastAsia="Arial" w:hAnsi="Arial"/>
                <w:sz w:val="18"/>
                <w:szCs w:val="18"/>
                <w:color w:val="auto"/>
                <w:w w:val="99"/>
              </w:rPr>
              <w:t>(State or other jurisdiction of incorporation)</w:t>
            </w:r>
          </w:p>
        </w:tc>
        <w:tc>
          <w:tcPr>
            <w:tcW w:w="3640" w:type="dxa"/>
            <w:vAlign w:val="bottom"/>
            <w:gridSpan w:val="3"/>
          </w:tcPr>
          <w:p>
            <w:pPr>
              <w:jc w:val="center"/>
              <w:ind w:right="680"/>
              <w:spacing w:after="0"/>
              <w:rPr>
                <w:sz w:val="20"/>
                <w:szCs w:val="20"/>
                <w:color w:val="auto"/>
              </w:rPr>
            </w:pPr>
            <w:r>
              <w:rPr>
                <w:rFonts w:ascii="Arial" w:cs="Arial" w:eastAsia="Arial" w:hAnsi="Arial"/>
                <w:sz w:val="18"/>
                <w:szCs w:val="18"/>
                <w:color w:val="auto"/>
                <w:w w:val="99"/>
              </w:rPr>
              <w:t>(Commission File Number)</w:t>
            </w:r>
          </w:p>
        </w:tc>
        <w:tc>
          <w:tcPr>
            <w:tcW w:w="2680" w:type="dxa"/>
            <w:vAlign w:val="bottom"/>
            <w:gridSpan w:val="3"/>
            <w:vMerge w:val="restart"/>
          </w:tcPr>
          <w:p>
            <w:pPr>
              <w:jc w:val="center"/>
              <w:ind w:left="11"/>
              <w:spacing w:after="0"/>
              <w:rPr>
                <w:sz w:val="20"/>
                <w:szCs w:val="20"/>
                <w:color w:val="auto"/>
              </w:rPr>
            </w:pPr>
            <w:r>
              <w:rPr>
                <w:rFonts w:ascii="Arial" w:cs="Arial" w:eastAsia="Arial" w:hAnsi="Arial"/>
                <w:sz w:val="18"/>
                <w:szCs w:val="18"/>
                <w:color w:val="auto"/>
                <w:w w:val="98"/>
              </w:rPr>
              <w:t>(IRS Employer Identification No.)</w:t>
            </w:r>
          </w:p>
        </w:tc>
        <w:tc>
          <w:tcPr>
            <w:tcW w:w="0" w:type="dxa"/>
            <w:vAlign w:val="bottom"/>
          </w:tcPr>
          <w:p>
            <w:pPr>
              <w:spacing w:after="0"/>
              <w:rPr>
                <w:sz w:val="1"/>
                <w:szCs w:val="1"/>
                <w:color w:val="auto"/>
              </w:rPr>
            </w:pPr>
          </w:p>
        </w:tc>
      </w:tr>
      <w:tr>
        <w:trPr>
          <w:trHeight w:val="94"/>
        </w:trPr>
        <w:tc>
          <w:tcPr>
            <w:tcW w:w="3780" w:type="dxa"/>
            <w:vAlign w:val="bottom"/>
            <w:gridSpan w:val="4"/>
            <w:vMerge w:val="continue"/>
          </w:tcPr>
          <w:p>
            <w:pPr>
              <w:spacing w:after="0"/>
              <w:rPr>
                <w:sz w:val="8"/>
                <w:szCs w:val="8"/>
                <w:color w:val="auto"/>
              </w:rPr>
            </w:pPr>
          </w:p>
        </w:tc>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40" w:type="dxa"/>
            <w:vAlign w:val="bottom"/>
          </w:tcPr>
          <w:p>
            <w:pPr>
              <w:spacing w:after="0"/>
              <w:rPr>
                <w:sz w:val="8"/>
                <w:szCs w:val="8"/>
                <w:color w:val="auto"/>
              </w:rPr>
            </w:pPr>
          </w:p>
        </w:tc>
        <w:tc>
          <w:tcPr>
            <w:tcW w:w="26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663 Highway 60, P.O. Box 807, Monett, MO 65708</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417-235-6652</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 Applicable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00" w:lineRule="exact"/>
        <w:rPr>
          <w:sz w:val="24"/>
          <w:szCs w:val="24"/>
          <w:color w:val="auto"/>
        </w:rPr>
      </w:pPr>
    </w:p>
    <w:p>
      <w:pPr>
        <w:spacing w:after="0" w:line="210" w:lineRule="exact"/>
        <w:rPr>
          <w:sz w:val="24"/>
          <w:szCs w:val="24"/>
          <w:color w:val="auto"/>
        </w:rPr>
      </w:pPr>
    </w:p>
    <w:p>
      <w:pPr>
        <w:spacing w:after="0" w:line="28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3"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4"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 (c)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0D0D0D"/>
        </w:rPr>
        <w:t>Securities registered pursuant to Section 12(b) of the Act:</w:t>
      </w:r>
    </w:p>
    <w:p>
      <w:pPr>
        <w:spacing w:after="0" w:line="27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2700" w:type="dxa"/>
            <w:vAlign w:val="bottom"/>
            <w:gridSpan w:val="2"/>
          </w:tcPr>
          <w:p>
            <w:pPr>
              <w:jc w:val="center"/>
              <w:ind w:right="1280"/>
              <w:spacing w:after="0"/>
              <w:rPr>
                <w:sz w:val="20"/>
                <w:szCs w:val="20"/>
                <w:color w:val="auto"/>
              </w:rPr>
            </w:pPr>
            <w:r>
              <w:rPr>
                <w:rFonts w:ascii="Arial" w:cs="Arial" w:eastAsia="Arial" w:hAnsi="Arial"/>
                <w:sz w:val="18"/>
                <w:szCs w:val="18"/>
                <w:color w:val="auto"/>
                <w:w w:val="98"/>
              </w:rPr>
              <w:t>Title of each class</w:t>
            </w:r>
          </w:p>
        </w:tc>
        <w:tc>
          <w:tcPr>
            <w:tcW w:w="2700" w:type="dxa"/>
            <w:vAlign w:val="bottom"/>
            <w:gridSpan w:val="3"/>
          </w:tcPr>
          <w:p>
            <w:pPr>
              <w:jc w:val="center"/>
              <w:spacing w:after="0"/>
              <w:rPr>
                <w:sz w:val="20"/>
                <w:szCs w:val="20"/>
                <w:color w:val="auto"/>
              </w:rPr>
            </w:pPr>
            <w:r>
              <w:rPr>
                <w:rFonts w:ascii="Arial" w:cs="Arial" w:eastAsia="Arial" w:hAnsi="Arial"/>
                <w:sz w:val="18"/>
                <w:szCs w:val="18"/>
                <w:color w:val="auto"/>
                <w:w w:val="98"/>
              </w:rPr>
              <w:t>Ticker symbol(s)</w:t>
            </w:r>
          </w:p>
        </w:tc>
        <w:tc>
          <w:tcPr>
            <w:tcW w:w="4220" w:type="dxa"/>
            <w:vAlign w:val="bottom"/>
            <w:gridSpan w:val="2"/>
          </w:tcPr>
          <w:p>
            <w:pPr>
              <w:jc w:val="center"/>
              <w:ind w:left="611"/>
              <w:spacing w:after="0"/>
              <w:rPr>
                <w:sz w:val="20"/>
                <w:szCs w:val="20"/>
                <w:color w:val="auto"/>
              </w:rPr>
            </w:pPr>
            <w:r>
              <w:rPr>
                <w:rFonts w:ascii="Arial" w:cs="Arial" w:eastAsia="Arial" w:hAnsi="Arial"/>
                <w:sz w:val="18"/>
                <w:szCs w:val="18"/>
                <w:color w:val="auto"/>
                <w:w w:val="98"/>
              </w:rPr>
              <w:t>Name of each exchange on which registered</w:t>
            </w:r>
          </w:p>
        </w:tc>
      </w:tr>
      <w:tr>
        <w:trPr>
          <w:trHeight w:val="20"/>
        </w:trPr>
        <w:tc>
          <w:tcPr>
            <w:tcW w:w="5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50"/>
        </w:trPr>
        <w:tc>
          <w:tcPr>
            <w:tcW w:w="3260" w:type="dxa"/>
            <w:vAlign w:val="bottom"/>
            <w:gridSpan w:val="3"/>
          </w:tcPr>
          <w:p>
            <w:pPr>
              <w:jc w:val="center"/>
              <w:ind w:right="700"/>
              <w:spacing w:after="0"/>
              <w:rPr>
                <w:sz w:val="20"/>
                <w:szCs w:val="20"/>
                <w:color w:val="auto"/>
              </w:rPr>
            </w:pPr>
            <w:r>
              <w:rPr>
                <w:rFonts w:ascii="Arial" w:cs="Arial" w:eastAsia="Arial" w:hAnsi="Arial"/>
                <w:sz w:val="18"/>
                <w:szCs w:val="18"/>
                <w:color w:val="auto"/>
                <w:w w:val="99"/>
              </w:rPr>
              <w:t>Common Stock, $0.01 par value</w:t>
            </w:r>
          </w:p>
        </w:tc>
        <w:tc>
          <w:tcPr>
            <w:tcW w:w="700" w:type="dxa"/>
            <w:vAlign w:val="bottom"/>
          </w:tcPr>
          <w:p>
            <w:pPr>
              <w:spacing w:after="0"/>
              <w:rPr>
                <w:sz w:val="21"/>
                <w:szCs w:val="21"/>
                <w:color w:val="auto"/>
              </w:rPr>
            </w:pPr>
          </w:p>
        </w:tc>
        <w:tc>
          <w:tcPr>
            <w:tcW w:w="20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JKHY</w:t>
            </w:r>
          </w:p>
        </w:tc>
        <w:tc>
          <w:tcPr>
            <w:tcW w:w="700" w:type="dxa"/>
            <w:vAlign w:val="bottom"/>
          </w:tcPr>
          <w:p>
            <w:pPr>
              <w:spacing w:after="0"/>
              <w:rPr>
                <w:sz w:val="21"/>
                <w:szCs w:val="21"/>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00" w:lineRule="exact"/>
        <w:rPr>
          <w:sz w:val="24"/>
          <w:szCs w:val="24"/>
          <w:color w:val="auto"/>
        </w:rPr>
      </w:pPr>
    </w:p>
    <w:p>
      <w:pPr>
        <w:spacing w:after="0" w:line="280"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4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8"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1031240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118110</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wp:posOffset>
            </wp:positionV>
            <wp:extent cx="7133590"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336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1" w:lineRule="exact"/>
        <w:rPr>
          <w:sz w:val="20"/>
          <w:szCs w:val="20"/>
          <w:color w:val="auto"/>
        </w:rPr>
      </w:pPr>
    </w:p>
    <w:p>
      <w:pPr>
        <w:spacing w:after="0" w:line="265" w:lineRule="auto"/>
        <w:rPr>
          <w:sz w:val="20"/>
          <w:szCs w:val="20"/>
          <w:color w:val="auto"/>
        </w:rPr>
      </w:pPr>
      <w:r>
        <w:rPr>
          <w:rFonts w:ascii="Arial" w:cs="Arial" w:eastAsia="Arial" w:hAnsi="Arial"/>
          <w:sz w:val="18"/>
          <w:szCs w:val="18"/>
          <w:color w:val="auto"/>
        </w:rPr>
        <w:t>On May 8, 2026, the Board of Directors of Jack Henry &amp; Associates, Inc., approved an addition of five million shares to its existing stock repurchase authorization. A copy of the press release announcing the increase is attached hereto as Exhibit 99.1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8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7"/>
          <w:szCs w:val="17"/>
          <w:u w:val="single" w:color="auto"/>
          <w:color w:val="auto"/>
        </w:rPr>
        <w:t>Description</w:t>
      </w:r>
    </w:p>
    <w:p>
      <w:pPr>
        <w:spacing w:after="0" w:line="19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7"/>
          <w:szCs w:val="17"/>
          <w:u w:val="single" w:color="auto"/>
          <w:color w:val="0000FF"/>
        </w:rPr>
        <w:t>Press Release dated May 12, 2026</w:t>
      </w:r>
    </w:p>
    <w:p>
      <w:pPr>
        <w:spacing w:after="0" w:line="8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615315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680"/>
          </w:cols>
          <w:pgMar w:left="320" w:top="883" w:right="8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4" w:lineRule="exact"/>
        <w:rPr>
          <w:sz w:val="20"/>
          <w:szCs w:val="20"/>
          <w:color w:val="auto"/>
        </w:rPr>
      </w:pPr>
    </w:p>
    <w:p>
      <w:pPr>
        <w:spacing w:after="0" w:line="28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65" w:lineRule="exact"/>
        <w:rPr>
          <w:sz w:val="20"/>
          <w:szCs w:val="20"/>
          <w:color w:val="auto"/>
        </w:rPr>
      </w:pPr>
    </w:p>
    <w:tbl>
      <w:tblPr>
        <w:tblLayout w:type="fixed"/>
        <w:tblInd w:w="260" w:type="dxa"/>
        <w:tblCellMar>
          <w:top w:w="0" w:type="dxa"/>
          <w:left w:w="0" w:type="dxa"/>
          <w:bottom w:w="0" w:type="dxa"/>
          <w:right w:w="0" w:type="dxa"/>
        </w:tblCellMar>
      </w:tblPr>
      <w:tr>
        <w:trPr>
          <w:trHeight w:val="235"/>
        </w:trPr>
        <w:tc>
          <w:tcPr>
            <w:tcW w:w="6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2"/>
          </w:tcPr>
          <w:p>
            <w:pPr>
              <w:ind w:left="40"/>
              <w:spacing w:after="0"/>
              <w:rPr>
                <w:sz w:val="20"/>
                <w:szCs w:val="20"/>
                <w:color w:val="auto"/>
              </w:rPr>
            </w:pPr>
            <w:r>
              <w:rPr>
                <w:rFonts w:ascii="Arial" w:cs="Arial" w:eastAsia="Arial" w:hAnsi="Arial"/>
                <w:sz w:val="18"/>
                <w:szCs w:val="18"/>
                <w:color w:val="auto"/>
                <w:w w:val="97"/>
              </w:rPr>
              <w:t>JACK HENRY &amp; ASSOCIATES, INC.</w:t>
            </w:r>
          </w:p>
        </w:tc>
      </w:tr>
      <w:tr>
        <w:trPr>
          <w:trHeight w:val="191"/>
        </w:trPr>
        <w:tc>
          <w:tcPr>
            <w:tcW w:w="60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2960" w:type="dxa"/>
            <w:vAlign w:val="bottom"/>
            <w:gridSpan w:val="2"/>
          </w:tcPr>
          <w:p>
            <w:pPr>
              <w:spacing w:after="0"/>
              <w:rPr>
                <w:sz w:val="20"/>
                <w:szCs w:val="20"/>
                <w:color w:val="auto"/>
              </w:rPr>
            </w:pPr>
            <w:r>
              <w:rPr>
                <w:rFonts w:ascii="Arial" w:cs="Arial" w:eastAsia="Arial" w:hAnsi="Arial"/>
                <w:sz w:val="14"/>
                <w:szCs w:val="14"/>
                <w:color w:val="auto"/>
              </w:rPr>
              <w:t>(Registrant)</w:t>
            </w:r>
          </w:p>
        </w:tc>
      </w:tr>
      <w:tr>
        <w:trPr>
          <w:trHeight w:val="46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5820" w:type="dxa"/>
            <w:vAlign w:val="bottom"/>
          </w:tcPr>
          <w:p>
            <w:pPr>
              <w:ind w:left="180"/>
              <w:spacing w:after="0"/>
              <w:rPr>
                <w:sz w:val="20"/>
                <w:szCs w:val="20"/>
                <w:color w:val="auto"/>
              </w:rPr>
            </w:pPr>
            <w:r>
              <w:rPr>
                <w:rFonts w:ascii="Arial" w:cs="Arial" w:eastAsia="Arial" w:hAnsi="Arial"/>
                <w:sz w:val="18"/>
                <w:szCs w:val="18"/>
                <w:color w:val="auto"/>
              </w:rPr>
              <w:t>May 12, 2026</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 Mimi L. Carsley</w:t>
            </w:r>
          </w:p>
        </w:tc>
        <w:tc>
          <w:tcPr>
            <w:tcW w:w="1500" w:type="dxa"/>
            <w:vAlign w:val="bottom"/>
          </w:tcPr>
          <w:p>
            <w:pPr>
              <w:spacing w:after="0"/>
              <w:rPr>
                <w:sz w:val="24"/>
                <w:szCs w:val="24"/>
                <w:color w:val="auto"/>
              </w:rPr>
            </w:pPr>
          </w:p>
        </w:tc>
      </w:tr>
      <w:tr>
        <w:trPr>
          <w:trHeight w:val="242"/>
        </w:trPr>
        <w:tc>
          <w:tcPr>
            <w:tcW w:w="60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Mimi L. Carsley</w:t>
            </w:r>
          </w:p>
        </w:tc>
      </w:tr>
      <w:tr>
        <w:trPr>
          <w:trHeight w:val="235"/>
        </w:trPr>
        <w:tc>
          <w:tcPr>
            <w:tcW w:w="6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w w:val="99"/>
              </w:rPr>
              <w:t>Chief Financial Officer and Treasurer</w:t>
            </w:r>
          </w:p>
        </w:tc>
      </w:tr>
    </w:tbl>
    <w:p>
      <w:pPr>
        <w:sectPr>
          <w:pgSz w:w="11900" w:h="16838" w:orient="portrait"/>
          <w:cols w:equalWidth="0" w:num="1">
            <w:col w:w="11220"/>
          </w:cols>
          <w:pgMar w:left="320" w:top="1298" w:right="359" w:bottom="1440" w:gutter="0" w:footer="0" w:header="0"/>
        </w:sectPr>
      </w:pPr>
    </w:p>
    <w:bookmarkStart w:id="3" w:name="page4"/>
    <w:bookmarkEnd w:id="3"/>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1020" w:type="dxa"/>
            <w:vAlign w:val="bottom"/>
          </w:tcPr>
          <w:p>
            <w:pPr>
              <w:spacing w:after="0"/>
              <w:rPr>
                <w:sz w:val="20"/>
                <w:szCs w:val="20"/>
                <w:color w:val="auto"/>
              </w:rPr>
            </w:pPr>
            <w:r>
              <w:rPr>
                <w:rFonts w:ascii="Arial" w:cs="Arial" w:eastAsia="Arial" w:hAnsi="Arial"/>
                <w:sz w:val="18"/>
                <w:szCs w:val="18"/>
                <w:color w:val="auto"/>
              </w:rPr>
              <w:t>Company:</w:t>
            </w:r>
          </w:p>
        </w:tc>
        <w:tc>
          <w:tcPr>
            <w:tcW w:w="3280" w:type="dxa"/>
            <w:vAlign w:val="bottom"/>
          </w:tcPr>
          <w:p>
            <w:pPr>
              <w:ind w:left="220"/>
              <w:spacing w:after="0"/>
              <w:rPr>
                <w:sz w:val="20"/>
                <w:szCs w:val="20"/>
                <w:color w:val="auto"/>
              </w:rPr>
            </w:pPr>
            <w:r>
              <w:rPr>
                <w:rFonts w:ascii="Arial" w:cs="Arial" w:eastAsia="Arial" w:hAnsi="Arial"/>
                <w:sz w:val="18"/>
                <w:szCs w:val="18"/>
                <w:color w:val="auto"/>
              </w:rPr>
              <w:t>Jack Henry &amp; Associates, Inc.</w:t>
            </w:r>
          </w:p>
        </w:tc>
        <w:tc>
          <w:tcPr>
            <w:tcW w:w="2260" w:type="dxa"/>
            <w:vAlign w:val="bottom"/>
          </w:tcPr>
          <w:p>
            <w:pPr>
              <w:ind w:left="640"/>
              <w:spacing w:after="0"/>
              <w:rPr>
                <w:sz w:val="20"/>
                <w:szCs w:val="20"/>
                <w:color w:val="auto"/>
              </w:rPr>
            </w:pPr>
            <w:r>
              <w:rPr>
                <w:rFonts w:ascii="Arial" w:cs="Arial" w:eastAsia="Arial" w:hAnsi="Arial"/>
                <w:sz w:val="18"/>
                <w:szCs w:val="18"/>
                <w:color w:val="auto"/>
              </w:rPr>
              <w:t>Analyst Contact:</w:t>
            </w:r>
          </w:p>
        </w:tc>
        <w:tc>
          <w:tcPr>
            <w:tcW w:w="3340" w:type="dxa"/>
            <w:vAlign w:val="bottom"/>
          </w:tcPr>
          <w:p>
            <w:pPr>
              <w:ind w:left="300"/>
              <w:spacing w:after="0"/>
              <w:rPr>
                <w:sz w:val="20"/>
                <w:szCs w:val="20"/>
                <w:color w:val="auto"/>
              </w:rPr>
            </w:pPr>
            <w:r>
              <w:rPr>
                <w:rFonts w:ascii="Arial" w:cs="Arial" w:eastAsia="Arial" w:hAnsi="Arial"/>
                <w:sz w:val="18"/>
                <w:szCs w:val="18"/>
                <w:color w:val="auto"/>
              </w:rPr>
              <w:t>Vance Sherard, CFA</w:t>
            </w:r>
          </w:p>
        </w:tc>
      </w:tr>
      <w:tr>
        <w:trPr>
          <w:trHeight w:val="227"/>
        </w:trPr>
        <w:tc>
          <w:tcPr>
            <w:tcW w:w="1020" w:type="dxa"/>
            <w:vAlign w:val="bottom"/>
          </w:tcPr>
          <w:p>
            <w:pPr>
              <w:spacing w:after="0"/>
              <w:rPr>
                <w:sz w:val="19"/>
                <w:szCs w:val="19"/>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663 Highway 60, P.O. Box 807</w:t>
            </w:r>
          </w:p>
        </w:tc>
        <w:tc>
          <w:tcPr>
            <w:tcW w:w="2260" w:type="dxa"/>
            <w:vAlign w:val="bottom"/>
          </w:tcPr>
          <w:p>
            <w:pPr>
              <w:spacing w:after="0"/>
              <w:rPr>
                <w:sz w:val="19"/>
                <w:szCs w:val="19"/>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Vice President, Investor Relations</w:t>
            </w:r>
          </w:p>
        </w:tc>
      </w:tr>
      <w:tr>
        <w:trPr>
          <w:trHeight w:val="235"/>
        </w:trPr>
        <w:tc>
          <w:tcPr>
            <w:tcW w:w="1020" w:type="dxa"/>
            <w:vAlign w:val="bottom"/>
          </w:tcPr>
          <w:p>
            <w:pPr>
              <w:spacing w:after="0"/>
              <w:rPr>
                <w:sz w:val="20"/>
                <w:szCs w:val="20"/>
                <w:color w:val="auto"/>
              </w:rPr>
            </w:pPr>
          </w:p>
        </w:tc>
        <w:tc>
          <w:tcPr>
            <w:tcW w:w="3280" w:type="dxa"/>
            <w:vAlign w:val="bottom"/>
          </w:tcPr>
          <w:p>
            <w:pPr>
              <w:ind w:left="220"/>
              <w:spacing w:after="0"/>
              <w:rPr>
                <w:sz w:val="20"/>
                <w:szCs w:val="20"/>
                <w:color w:val="auto"/>
              </w:rPr>
            </w:pPr>
            <w:r>
              <w:rPr>
                <w:rFonts w:ascii="Arial" w:cs="Arial" w:eastAsia="Arial" w:hAnsi="Arial"/>
                <w:sz w:val="18"/>
                <w:szCs w:val="18"/>
                <w:color w:val="auto"/>
              </w:rPr>
              <w:t>Monett, MO 65708</w:t>
            </w:r>
          </w:p>
        </w:tc>
        <w:tc>
          <w:tcPr>
            <w:tcW w:w="2260" w:type="dxa"/>
            <w:vAlign w:val="bottom"/>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(417) 235-6652</w:t>
            </w:r>
          </w:p>
        </w:tc>
      </w:tr>
      <w:tr>
        <w:trPr>
          <w:trHeight w:val="380"/>
        </w:trPr>
        <w:tc>
          <w:tcPr>
            <w:tcW w:w="10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60" w:type="dxa"/>
            <w:vAlign w:val="bottom"/>
          </w:tcPr>
          <w:p>
            <w:pPr>
              <w:ind w:left="640"/>
              <w:spacing w:after="0"/>
              <w:rPr>
                <w:sz w:val="20"/>
                <w:szCs w:val="20"/>
                <w:color w:val="auto"/>
              </w:rPr>
            </w:pPr>
            <w:r>
              <w:rPr>
                <w:rFonts w:ascii="Arial" w:cs="Arial" w:eastAsia="Arial" w:hAnsi="Arial"/>
                <w:sz w:val="18"/>
                <w:szCs w:val="18"/>
                <w:color w:val="auto"/>
              </w:rPr>
              <w:t>Press Contact:</w:t>
            </w:r>
          </w:p>
        </w:tc>
        <w:tc>
          <w:tcPr>
            <w:tcW w:w="3340" w:type="dxa"/>
            <w:vAlign w:val="bottom"/>
          </w:tcPr>
          <w:p>
            <w:pPr>
              <w:ind w:left="300"/>
              <w:spacing w:after="0"/>
              <w:rPr>
                <w:sz w:val="20"/>
                <w:szCs w:val="20"/>
                <w:color w:val="auto"/>
              </w:rPr>
            </w:pPr>
            <w:r>
              <w:rPr>
                <w:rFonts w:ascii="Arial" w:cs="Arial" w:eastAsia="Arial" w:hAnsi="Arial"/>
                <w:sz w:val="18"/>
                <w:szCs w:val="18"/>
                <w:color w:val="auto"/>
              </w:rPr>
              <w:t>Mark Folk</w:t>
            </w:r>
          </w:p>
        </w:tc>
      </w:tr>
      <w:tr>
        <w:trPr>
          <w:trHeight w:val="227"/>
        </w:trPr>
        <w:tc>
          <w:tcPr>
            <w:tcW w:w="10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w w:val="98"/>
              </w:rPr>
              <w:t>Director of Corporate Communications</w:t>
            </w:r>
          </w:p>
        </w:tc>
      </w:tr>
      <w:tr>
        <w:trPr>
          <w:trHeight w:val="235"/>
        </w:trPr>
        <w:tc>
          <w:tcPr>
            <w:tcW w:w="10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340" w:type="dxa"/>
            <w:vAlign w:val="bottom"/>
          </w:tcPr>
          <w:p>
            <w:pPr>
              <w:ind w:left="300"/>
              <w:spacing w:after="0"/>
              <w:rPr>
                <w:sz w:val="20"/>
                <w:szCs w:val="20"/>
                <w:color w:val="auto"/>
              </w:rPr>
            </w:pPr>
            <w:r>
              <w:rPr>
                <w:rFonts w:ascii="Arial" w:cs="Arial" w:eastAsia="Arial" w:hAnsi="Arial"/>
                <w:sz w:val="18"/>
                <w:szCs w:val="18"/>
                <w:color w:val="auto"/>
              </w:rPr>
              <w:t>(704) 890-5323</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62626"/>
        </w:rPr>
        <w:t>FOR IMMEDIATE RELEASE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Jack Henry &amp; Associates Adds Five Million Shares to Stock Repurchase Authorization</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color w:val="auto"/>
        </w:rPr>
        <w:t xml:space="preserve">MONETT, Mo., May 12, 2026 </w:t>
      </w:r>
      <w:r>
        <w:rPr>
          <w:rFonts w:ascii="Arial" w:cs="Arial" w:eastAsia="Arial" w:hAnsi="Arial"/>
          <w:sz w:val="18"/>
          <w:szCs w:val="18"/>
          <w:color w:val="auto"/>
        </w:rPr>
        <w:t>— Jack Henry &amp; Associates, Inc.® (Nasdaq: JKHY) announced today that its Board of Directors increased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remaining 1.4 million share stock repurchase authorization by another 5.0 million shares, bringing the total current authorization to 6.4 million shares. Thus far in fiscal year 2026, which began July 1, 2025, Jack Henry has repurchased just over 2 million shares.</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October of 2002, the Board of Directors approved the current buyback program, which has been increased on seven previous occasions since that time as shares have been repurchased. The company will finance its share repurchases with available cash reserves or short-term borrowings on its existing credit facility. All transactions will be executed in accordance with regulatory and exchange guidelines. The share repurchase program does not include specific price targets or timetables and may be suspended at any time.</w:t>
      </w:r>
    </w:p>
    <w:p>
      <w:pPr>
        <w:spacing w:after="0" w:line="20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“With the recent tax legislation, we have returned to a resilient cash flow position, even with our continued investments focused on technology innovation,” said Mimi Carsley, Chief Financial Officer &amp; Treasurer with Jack Henry. “This increased share repurchase authorization is the result of our ongoing confidence in our operations and commitment to generating value for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Jack Henry &amp; Associates, Inc.</w:t>
      </w:r>
      <w:r>
        <w:rPr>
          <w:rFonts w:ascii="Arial" w:cs="Arial" w:eastAsia="Arial" w:hAnsi="Arial"/>
          <w:sz w:val="23"/>
          <w:szCs w:val="23"/>
          <w:b w:val="1"/>
          <w:bCs w:val="1"/>
          <w:color w:val="auto"/>
          <w:vertAlign w:val="superscript"/>
        </w:rPr>
        <w:t>®</w:t>
      </w:r>
    </w:p>
    <w:p>
      <w:pPr>
        <w:spacing w:after="0" w:line="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Jack Henry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(Nasdaq: JKHY) is a well-rounded financial technology company that strengthens connections between financial institutions and the people and businesses they serve. We are an S&amp;P 500 company that prioritizes openness, collaboration, and user centricity – offering banks and credit unions a vibrant ecosystem of internally developed modern capabilities as well as the ability to integrate with leading fintechs. For 50 years, Jack Henry has provided technology solutions to enable clients to innovate faster, strategically differentiate, and successfully compete while serving the evolving needs of their accountholders. We empower approximately 7,400 clients with people-inspired innovation, personal service, and insight-driven solutions that help reduce the barriers to financial health. Additional information is available at www.jackhenry.com.  </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2026-05-12T10:21:38Z</dcterms:created>
  <dcterms:modified xsi:type="dcterms:W3CDTF">2026-05-12T10:21:38Z</dcterms:modified>
</cp:coreProperties>
</file>