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708660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657860</wp:posOffset>
            </wp:positionV>
            <wp:extent cx="713359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336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25, 2026</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JACK HENRY &amp; ASSOCIATES, INC.</w:t>
      </w:r>
    </w:p>
    <w:p>
      <w:pPr>
        <w:spacing w:after="0" w:line="102" w:lineRule="exact"/>
        <w:rPr>
          <w:sz w:val="24"/>
          <w:szCs w:val="24"/>
          <w:color w:val="auto"/>
        </w:rPr>
      </w:pPr>
    </w:p>
    <w:tbl>
      <w:tblPr>
        <w:tblLayout w:type="fixed"/>
        <w:tblInd w:w="38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gridSpan w:val="4"/>
          </w:tcPr>
          <w:p>
            <w:pPr>
              <w:jc w:val="center"/>
              <w:ind w:left="351"/>
              <w:spacing w:after="0"/>
              <w:rPr>
                <w:sz w:val="20"/>
                <w:szCs w:val="20"/>
                <w:color w:val="auto"/>
              </w:rPr>
            </w:pPr>
            <w:r>
              <w:rPr>
                <w:rFonts w:ascii="Arial" w:cs="Arial" w:eastAsia="Arial" w:hAnsi="Arial"/>
                <w:sz w:val="18"/>
                <w:szCs w:val="18"/>
                <w:color w:val="auto"/>
                <w:w w:val="98"/>
              </w:rPr>
              <w:t>(Exact name of Registrant as specified in its Charter)</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gridSpan w:val="3"/>
          </w:tcPr>
          <w:p>
            <w:pPr>
              <w:jc w:val="center"/>
              <w:ind w:left="671"/>
              <w:spacing w:after="0"/>
              <w:rPr>
                <w:sz w:val="20"/>
                <w:szCs w:val="20"/>
                <w:color w:val="auto"/>
              </w:rPr>
            </w:pPr>
            <w:r>
              <w:rPr>
                <w:rFonts w:ascii="Arial" w:cs="Arial" w:eastAsia="Arial" w:hAnsi="Arial"/>
                <w:sz w:val="18"/>
                <w:szCs w:val="18"/>
                <w:color w:val="auto"/>
                <w:w w:val="97"/>
              </w:rPr>
              <w:t>Delaware</w:t>
            </w:r>
          </w:p>
        </w:tc>
        <w:tc>
          <w:tcPr>
            <w:tcW w:w="1160" w:type="dxa"/>
            <w:vAlign w:val="bottom"/>
          </w:tcPr>
          <w:p>
            <w:pPr>
              <w:spacing w:after="0"/>
              <w:rPr>
                <w:sz w:val="18"/>
                <w:szCs w:val="18"/>
                <w:color w:val="auto"/>
              </w:rPr>
            </w:pPr>
          </w:p>
        </w:tc>
        <w:tc>
          <w:tcPr>
            <w:tcW w:w="1800" w:type="dxa"/>
            <w:vAlign w:val="bottom"/>
            <w:gridSpan w:val="2"/>
          </w:tcPr>
          <w:p>
            <w:pPr>
              <w:jc w:val="center"/>
              <w:ind w:left="1071"/>
              <w:spacing w:after="0"/>
              <w:rPr>
                <w:sz w:val="20"/>
                <w:szCs w:val="20"/>
                <w:color w:val="auto"/>
              </w:rPr>
            </w:pPr>
            <w:r>
              <w:rPr>
                <w:rFonts w:ascii="Arial" w:cs="Arial" w:eastAsia="Arial" w:hAnsi="Arial"/>
                <w:sz w:val="18"/>
                <w:szCs w:val="18"/>
                <w:color w:val="auto"/>
                <w:w w:val="96"/>
              </w:rPr>
              <w:t>0-14112</w:t>
            </w:r>
          </w:p>
        </w:tc>
        <w:tc>
          <w:tcPr>
            <w:tcW w:w="1840" w:type="dxa"/>
            <w:vAlign w:val="bottom"/>
          </w:tcPr>
          <w:p>
            <w:pPr>
              <w:spacing w:after="0"/>
              <w:rPr>
                <w:sz w:val="18"/>
                <w:szCs w:val="18"/>
                <w:color w:val="auto"/>
              </w:rPr>
            </w:pPr>
          </w:p>
        </w:tc>
        <w:tc>
          <w:tcPr>
            <w:tcW w:w="2680" w:type="dxa"/>
            <w:vAlign w:val="bottom"/>
            <w:gridSpan w:val="3"/>
          </w:tcPr>
          <w:p>
            <w:pPr>
              <w:jc w:val="right"/>
              <w:ind w:right="820"/>
              <w:spacing w:after="0"/>
              <w:rPr>
                <w:sz w:val="20"/>
                <w:szCs w:val="20"/>
                <w:color w:val="auto"/>
              </w:rPr>
            </w:pPr>
            <w:r>
              <w:rPr>
                <w:rFonts w:ascii="Arial" w:cs="Arial" w:eastAsia="Arial" w:hAnsi="Arial"/>
                <w:sz w:val="18"/>
                <w:szCs w:val="18"/>
                <w:color w:val="auto"/>
              </w:rPr>
              <w:t>43-1128385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gridSpan w:val="4"/>
            <w:vMerge w:val="restart"/>
          </w:tcPr>
          <w:p>
            <w:pPr>
              <w:jc w:val="center"/>
              <w:ind w:right="311"/>
              <w:spacing w:after="0"/>
              <w:rPr>
                <w:sz w:val="20"/>
                <w:szCs w:val="20"/>
                <w:color w:val="auto"/>
              </w:rPr>
            </w:pPr>
            <w:r>
              <w:rPr>
                <w:rFonts w:ascii="Arial" w:cs="Arial" w:eastAsia="Arial" w:hAnsi="Arial"/>
                <w:sz w:val="18"/>
                <w:szCs w:val="18"/>
                <w:color w:val="auto"/>
                <w:w w:val="99"/>
              </w:rPr>
              <w:t>(State or other jurisdiction of incorporation)</w:t>
            </w:r>
          </w:p>
        </w:tc>
        <w:tc>
          <w:tcPr>
            <w:tcW w:w="3640" w:type="dxa"/>
            <w:vAlign w:val="bottom"/>
            <w:gridSpan w:val="3"/>
          </w:tcPr>
          <w:p>
            <w:pPr>
              <w:jc w:val="center"/>
              <w:ind w:right="680"/>
              <w:spacing w:after="0"/>
              <w:rPr>
                <w:sz w:val="20"/>
                <w:szCs w:val="20"/>
                <w:color w:val="auto"/>
              </w:rPr>
            </w:pPr>
            <w:r>
              <w:rPr>
                <w:rFonts w:ascii="Arial" w:cs="Arial" w:eastAsia="Arial" w:hAnsi="Arial"/>
                <w:sz w:val="18"/>
                <w:szCs w:val="18"/>
                <w:color w:val="auto"/>
                <w:w w:val="99"/>
              </w:rPr>
              <w:t>(Commission File Number)</w:t>
            </w:r>
          </w:p>
        </w:tc>
        <w:tc>
          <w:tcPr>
            <w:tcW w:w="2680" w:type="dxa"/>
            <w:vAlign w:val="bottom"/>
            <w:gridSpan w:val="3"/>
            <w:vMerge w:val="restart"/>
          </w:tcPr>
          <w:p>
            <w:pPr>
              <w:jc w:val="center"/>
              <w:ind w:left="11"/>
              <w:spacing w:after="0"/>
              <w:rPr>
                <w:sz w:val="20"/>
                <w:szCs w:val="20"/>
                <w:color w:val="auto"/>
              </w:rPr>
            </w:pPr>
            <w:r>
              <w:rPr>
                <w:rFonts w:ascii="Arial" w:cs="Arial" w:eastAsia="Arial" w:hAnsi="Arial"/>
                <w:sz w:val="18"/>
                <w:szCs w:val="18"/>
                <w:color w:val="auto"/>
                <w:w w:val="98"/>
              </w:rPr>
              <w:t>(IRS Employer Identification No.)</w:t>
            </w:r>
          </w:p>
        </w:tc>
        <w:tc>
          <w:tcPr>
            <w:tcW w:w="0" w:type="dxa"/>
            <w:vAlign w:val="bottom"/>
          </w:tcPr>
          <w:p>
            <w:pPr>
              <w:spacing w:after="0"/>
              <w:rPr>
                <w:sz w:val="1"/>
                <w:szCs w:val="1"/>
                <w:color w:val="auto"/>
              </w:rPr>
            </w:pPr>
          </w:p>
        </w:tc>
      </w:tr>
      <w:tr>
        <w:trPr>
          <w:trHeight w:val="94"/>
        </w:trPr>
        <w:tc>
          <w:tcPr>
            <w:tcW w:w="378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 Applicable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0" w:lineRule="exact"/>
        <w:rPr>
          <w:sz w:val="24"/>
          <w:szCs w:val="24"/>
          <w:color w:val="auto"/>
        </w:rPr>
      </w:pPr>
    </w:p>
    <w:p>
      <w:pPr>
        <w:spacing w:after="0" w:line="210" w:lineRule="exact"/>
        <w:rPr>
          <w:sz w:val="24"/>
          <w:szCs w:val="24"/>
          <w:color w:val="auto"/>
        </w:rPr>
      </w:pPr>
    </w:p>
    <w:p>
      <w:pPr>
        <w:spacing w:after="0" w:line="28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3"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3"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4"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 (c)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0D0D0D"/>
        </w:rPr>
        <w:t>Securities registered pursuant to Section 12(b) of the Act:</w:t>
      </w:r>
    </w:p>
    <w:p>
      <w:pPr>
        <w:spacing w:after="0" w:line="27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2700" w:type="dxa"/>
            <w:vAlign w:val="bottom"/>
            <w:gridSpan w:val="2"/>
          </w:tcPr>
          <w:p>
            <w:pPr>
              <w:jc w:val="center"/>
              <w:ind w:right="1280"/>
              <w:spacing w:after="0"/>
              <w:rPr>
                <w:sz w:val="20"/>
                <w:szCs w:val="20"/>
                <w:color w:val="auto"/>
              </w:rPr>
            </w:pPr>
            <w:r>
              <w:rPr>
                <w:rFonts w:ascii="Arial" w:cs="Arial" w:eastAsia="Arial" w:hAnsi="Arial"/>
                <w:sz w:val="18"/>
                <w:szCs w:val="18"/>
                <w:color w:val="auto"/>
                <w:w w:val="98"/>
              </w:rPr>
              <w:t>Title of each class</w:t>
            </w: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8"/>
              </w:rPr>
              <w:t>Ticker symbol(s)</w:t>
            </w:r>
          </w:p>
        </w:tc>
        <w:tc>
          <w:tcPr>
            <w:tcW w:w="4220" w:type="dxa"/>
            <w:vAlign w:val="bottom"/>
            <w:gridSpan w:val="2"/>
          </w:tcPr>
          <w:p>
            <w:pPr>
              <w:jc w:val="center"/>
              <w:ind w:left="611"/>
              <w:spacing w:after="0"/>
              <w:rPr>
                <w:sz w:val="20"/>
                <w:szCs w:val="20"/>
                <w:color w:val="auto"/>
              </w:rPr>
            </w:pPr>
            <w:r>
              <w:rPr>
                <w:rFonts w:ascii="Arial" w:cs="Arial" w:eastAsia="Arial" w:hAnsi="Arial"/>
                <w:sz w:val="18"/>
                <w:szCs w:val="18"/>
                <w:color w:val="auto"/>
                <w:w w:val="98"/>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50"/>
        </w:trPr>
        <w:tc>
          <w:tcPr>
            <w:tcW w:w="3260" w:type="dxa"/>
            <w:vAlign w:val="bottom"/>
            <w:gridSpan w:val="3"/>
          </w:tcPr>
          <w:p>
            <w:pPr>
              <w:jc w:val="center"/>
              <w:ind w:right="700"/>
              <w:spacing w:after="0"/>
              <w:rPr>
                <w:sz w:val="20"/>
                <w:szCs w:val="20"/>
                <w:color w:val="auto"/>
              </w:rPr>
            </w:pPr>
            <w:r>
              <w:rPr>
                <w:rFonts w:ascii="Arial" w:cs="Arial" w:eastAsia="Arial" w:hAnsi="Arial"/>
                <w:sz w:val="18"/>
                <w:szCs w:val="18"/>
                <w:color w:val="auto"/>
                <w:w w:val="99"/>
              </w:rPr>
              <w:t>Common Stock, $0.01 par value</w:t>
            </w:r>
          </w:p>
        </w:tc>
        <w:tc>
          <w:tcPr>
            <w:tcW w:w="700" w:type="dxa"/>
            <w:vAlign w:val="bottom"/>
          </w:tcPr>
          <w:p>
            <w:pPr>
              <w:spacing w:after="0"/>
              <w:rPr>
                <w:sz w:val="21"/>
                <w:szCs w:val="21"/>
                <w:color w:val="auto"/>
              </w:rPr>
            </w:pPr>
          </w:p>
        </w:tc>
        <w:tc>
          <w:tcPr>
            <w:tcW w:w="20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JKHY</w:t>
            </w:r>
          </w:p>
        </w:tc>
        <w:tc>
          <w:tcPr>
            <w:tcW w:w="70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00" w:lineRule="exact"/>
        <w:rPr>
          <w:sz w:val="24"/>
          <w:szCs w:val="24"/>
          <w:color w:val="auto"/>
        </w:rPr>
      </w:pPr>
    </w:p>
    <w:p>
      <w:pPr>
        <w:spacing w:after="0" w:line="280"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8"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1031240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118110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67310</wp:posOffset>
            </wp:positionV>
            <wp:extent cx="713359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336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2026, Jack Henry &amp; Associates, Inc. (the “Company”) entered into a $1.0 billion, five year, revolving, unsecured Credit Agreement among the Company, as Borrower, the lenders party thereto, U.S. Bank National Association, as Administrative Agent, LC Issuer and Swing Line Lender, and certain other financial institutions as co-syndication agents and joint lead arrangers and joint book runners (the “Credit Agreement”).</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Credit Agreement replaces the Company’s existing $600 million revolving, unsecured credit agreement dated August 31, 2022, among the Company, as the borrower, the lenders party thereto, U.S. Bank National Association, as Administrative Agent, LC Issuer and Swing Line Lender, and certain other financial institutions as co-syndication agents and joint lead arrangers and joint book runners (the “Prior Credit Agreement”), which had a maturity date of August 31, 2027. The Prior Credit Agreement was terminated simultaneously with the closing of the Credit Agreement. As of March 25, 2026, there was approximately $80 million outstanding under the Prior Credit Agreement, which was refinanced with a borrowing under the Credit Agreement. There were no early termination penalties owed by the Company in connection with the termination of the Prior Credit Agreement.</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Credit Agreement may be used to refinance existing indebtedness of the Company, for capital expenditures, to repurchase the Company’s equity interests and for general corporate purposes.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Credit Agreement bears interest at a variable rate equal to, at the option of the Company, either (a) a rate based on adjusted Term SOFR or (b) an alternate base rate (the highest of (i) 0.00%, (ii) U.S. Bank’s prime rate, (iii) the Federal Funds Rate plus 0.50% and (iv) a one month adjusted Term SOFR rate plus 1.00%), plus an applicable percentage in each case determined based on the Company’s leverage ratio.</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Credit Agreement permits the Company to obtain, pursuant to the terms and subject to certain limitations set forth in the Credit Agreement, additional revolving credit commitments and/or term loan commitments.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contains customary affirmative and negative covenants that, among other things, limit the ability of the Company and its subsidiaries, without the approval of the lenders, to engage in certain mergers, consolidations, asset sales, investments and transactions with affiliates, or to incur liens or indebtedness in excess of stated amounts, all as set forth in the Credit Agreement. Financial covenants under the Credit Agreement require the Company to maintain a minimum ratio of Consolidated EBITDA (as defined in the Credit Agreement) to Consolidated Interest Expense (as defined in the Credit Agreement) of 3.50 to 1.00 and a maximum Net Leverage Ratio of 3.50 to 1.00 with a step-up to 4.00 to 1.00 for four consecutive quarters following an acquisition with a purchase price of at least $100 million.</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also contains customary events of default, including nonpayment, non-compliance with affirmative or negative covenants, bankruptcy and change of control, which if they occur may cause all outstanding obligations under the Credit Agreement to be accelerated and become immediately due and payable.</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contains customary representations and warranties of the Company. These representations and warranties have been made solely for the benefit of the lenders and such representations and warranties should not be relied on by any other person, including investors. In addition, such representations and warranties (i) have been qualified by disclosures made to the lenders in connection with the Credit Agreement, (ii) are subject to the materiality standards contained in the Credit Agreement which may differ from what may be viewed as material by investors and (iii) were made only as of the date of the Credit Agreement or such other date as is specified in the Credit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guaranteed by the Company’s wholly owned Material Domestic Subsidiaries (as defined in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set forth above is qualified in its entirety by the Credit Agreement filed herewith as exhibit 10.82.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the disclosures under Item 1.01 of this Current Report on Form 8-K, which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708660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the disclosures under Item 1.01 of this Current Report on Form 8-K, which are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48" w:lineRule="exact"/>
        <w:rPr>
          <w:sz w:val="20"/>
          <w:szCs w:val="20"/>
          <w:color w:val="auto"/>
        </w:rPr>
      </w:pPr>
    </w:p>
    <w:p>
      <w:pPr>
        <w:ind w:left="720" w:hanging="1283"/>
        <w:spacing w:after="0" w:line="280" w:lineRule="auto"/>
        <w:tabs>
          <w:tab w:leader="none" w:pos="70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8"/>
          <w:szCs w:val="18"/>
          <w:u w:val="single" w:color="auto"/>
          <w:color w:val="0000FF"/>
        </w:rPr>
        <w:t>Credit Agreement, dated as of March 25, 2026 among Jack Henry &amp; Associates, Inc., as Borrower, the affiliates of Borrower party thereto as Guarantors, the lenders parties thereto, and U.S. Bank National Association, as Administrative Agent*</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w:t>
      </w:r>
    </w:p>
    <w:p>
      <w:pPr>
        <w:spacing w:after="0" w:line="25" w:lineRule="exact"/>
        <w:rPr>
          <w:sz w:val="20"/>
          <w:szCs w:val="20"/>
          <w:color w:val="auto"/>
        </w:rPr>
      </w:pPr>
    </w:p>
    <w:p>
      <w:pPr>
        <w:ind w:firstLine="7"/>
        <w:spacing w:after="0" w:line="260" w:lineRule="auto"/>
        <w:tabs>
          <w:tab w:leader="none" w:pos="122"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schedules and other attachments have been omitted. The Company undertakes to furnish the omitted schedules and attachments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4"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65"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color w:val="auto"/>
                <w:w w:val="97"/>
              </w:rPr>
              <w:t>JACK HENRY &amp; ASSOCIATES, INC.</w:t>
            </w:r>
          </w:p>
        </w:tc>
      </w:tr>
      <w:tr>
        <w:trPr>
          <w:trHeight w:val="191"/>
        </w:trPr>
        <w:tc>
          <w:tcPr>
            <w:tcW w:w="60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(Registrant)</w:t>
            </w:r>
          </w:p>
        </w:tc>
      </w:tr>
      <w:tr>
        <w:trPr>
          <w:trHeight w:val="46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80"/>
              <w:spacing w:after="0"/>
              <w:rPr>
                <w:sz w:val="20"/>
                <w:szCs w:val="20"/>
                <w:color w:val="auto"/>
              </w:rPr>
            </w:pPr>
            <w:r>
              <w:rPr>
                <w:rFonts w:ascii="Arial" w:cs="Arial" w:eastAsia="Arial" w:hAnsi="Arial"/>
                <w:sz w:val="18"/>
                <w:szCs w:val="18"/>
                <w:color w:val="auto"/>
              </w:rPr>
              <w:t>March 26, 2026</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Mimi L. Carsley</w:t>
            </w:r>
          </w:p>
        </w:tc>
        <w:tc>
          <w:tcPr>
            <w:tcW w:w="1500" w:type="dxa"/>
            <w:vAlign w:val="bottom"/>
          </w:tcPr>
          <w:p>
            <w:pPr>
              <w:spacing w:after="0"/>
              <w:rPr>
                <w:sz w:val="24"/>
                <w:szCs w:val="24"/>
                <w:color w:val="auto"/>
              </w:rPr>
            </w:pPr>
          </w:p>
        </w:tc>
      </w:tr>
      <w:tr>
        <w:trPr>
          <w:trHeight w:val="242"/>
        </w:trPr>
        <w:tc>
          <w:tcPr>
            <w:tcW w:w="60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Mimi L. Carsley</w:t>
            </w:r>
          </w:p>
        </w:tc>
      </w:tr>
      <w:tr>
        <w:trPr>
          <w:trHeight w:val="235"/>
        </w:trPr>
        <w:tc>
          <w:tcPr>
            <w:tcW w:w="6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20"/>
          </w:cols>
          <w:pgMar w:left="320" w:top="1298" w:right="35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CREDIT AGREEMENT</w:t>
      </w:r>
    </w:p>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DATED AS OF MARCH 25, 2026</w:t>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AMONG</w:t>
      </w:r>
    </w:p>
    <w:p>
      <w:pPr>
        <w:spacing w:after="0" w:line="200" w:lineRule="exact"/>
        <w:rPr>
          <w:sz w:val="20"/>
          <w:szCs w:val="20"/>
          <w:color w:val="auto"/>
        </w:rPr>
      </w:pPr>
    </w:p>
    <w:p>
      <w:pPr>
        <w:spacing w:after="0" w:line="3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JACK HENRY &amp; ASSOCIATES, INC.,</w:t>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THE LENDERS,</w:t>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U.S. BANK NATIONAL ASSOCIATION,</w:t>
      </w:r>
    </w:p>
    <w:p>
      <w:pPr>
        <w:spacing w:after="0" w:line="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AS ADMINISTRATIVE AGENT</w:t>
      </w:r>
    </w:p>
    <w:p>
      <w:pPr>
        <w:spacing w:after="0" w:line="1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BANK OF AMERICA, N.A., FIFTH THIRD BANK, NATIONAL ASSOCIATION,</w:t>
      </w:r>
    </w:p>
    <w:p>
      <w:pPr>
        <w:spacing w:after="0" w:line="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PNC BANK, NATIONAL ASSOCIATION, REGIONS BANK, AND TRUIST BANK,</w:t>
      </w:r>
    </w:p>
    <w:p>
      <w:pPr>
        <w:spacing w:after="0" w:line="2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AS CO-SYNDICATION AGENTS</w:t>
      </w:r>
    </w:p>
    <w:p>
      <w:pPr>
        <w:spacing w:after="0" w:line="2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27" w:lineRule="exact"/>
        <w:rPr>
          <w:sz w:val="20"/>
          <w:szCs w:val="20"/>
          <w:color w:val="auto"/>
        </w:rPr>
      </w:pPr>
    </w:p>
    <w:p>
      <w:pPr>
        <w:jc w:val="center"/>
        <w:ind w:left="640"/>
        <w:spacing w:after="0" w:line="262" w:lineRule="auto"/>
        <w:rPr>
          <w:sz w:val="20"/>
          <w:szCs w:val="20"/>
          <w:color w:val="auto"/>
        </w:rPr>
      </w:pPr>
      <w:r>
        <w:rPr>
          <w:rFonts w:ascii="Times New Roman" w:cs="Times New Roman" w:eastAsia="Times New Roman" w:hAnsi="Times New Roman"/>
          <w:sz w:val="21"/>
          <w:szCs w:val="21"/>
          <w:b w:val="1"/>
          <w:bCs w:val="1"/>
          <w:color w:val="auto"/>
        </w:rPr>
        <w:t>U.S. BANK NATIONAL ASSOCIATION, BOFA SECURITIES, INC., FIFTH THIRD BANK, NATIONAL ASSOCIATION, PNC CAPITAL MARKETS LLC, REGIONS CAPITAL MARKETS, A DIVISION OF REGIONS BANK,</w:t>
      </w: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AND TRUIST SECURITIES, INC.</w:t>
      </w:r>
    </w:p>
    <w:p>
      <w:pPr>
        <w:spacing w:after="0" w:line="2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b w:val="1"/>
          <w:bCs w:val="1"/>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334010</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DB1/ 166813860.8</w:t>
      </w:r>
    </w:p>
    <w:p>
      <w:pPr>
        <w:sectPr>
          <w:pgSz w:w="11900" w:h="16838" w:orient="portrait"/>
          <w:cols w:equalWidth="0" w:num="1">
            <w:col w:w="10900"/>
          </w:cols>
          <w:pgMar w:left="340" w:top="1405" w:right="65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dot" w:pos="8160" w:val="left"/>
        </w:tabs>
        <w:rPr>
          <w:sz w:val="20"/>
          <w:szCs w:val="20"/>
          <w:color w:val="auto"/>
        </w:rPr>
      </w:pPr>
      <w:r>
        <w:rPr>
          <w:rFonts w:ascii="Times New Roman" w:cs="Times New Roman" w:eastAsia="Times New Roman" w:hAnsi="Times New Roman"/>
          <w:sz w:val="21"/>
          <w:szCs w:val="21"/>
          <w:color w:val="auto"/>
        </w:rPr>
        <w:t>ARTICLE I DEFINITIONS</w:t>
      </w:r>
      <w:r>
        <w:rPr>
          <w:sz w:val="20"/>
          <w:szCs w:val="20"/>
          <w:color w:val="auto"/>
        </w:rPr>
        <w:tab/>
      </w:r>
      <w:r>
        <w:rPr>
          <w:rFonts w:ascii="Times New Roman" w:cs="Times New Roman" w:eastAsia="Times New Roman" w:hAnsi="Times New Roman"/>
          <w:sz w:val="21"/>
          <w:szCs w:val="21"/>
          <w:color w:val="auto"/>
        </w:rPr>
        <w:t>1</w:t>
      </w:r>
    </w:p>
    <w:p>
      <w:pPr>
        <w:spacing w:after="0" w:line="66" w:lineRule="exact"/>
        <w:rPr>
          <w:sz w:val="20"/>
          <w:szCs w:val="20"/>
          <w:color w:val="auto"/>
        </w:rPr>
      </w:pPr>
    </w:p>
    <w:p>
      <w:pPr>
        <w:ind w:left="640"/>
        <w:spacing w:after="0"/>
        <w:tabs>
          <w:tab w:leader="none" w:pos="1160" w:val="left"/>
          <w:tab w:leader="dot" w:pos="8060" w:val="left"/>
        </w:tabs>
        <w:rPr>
          <w:sz w:val="20"/>
          <w:szCs w:val="20"/>
          <w:color w:val="auto"/>
        </w:rPr>
      </w:pPr>
      <w:r>
        <w:rPr>
          <w:rFonts w:ascii="Times New Roman" w:cs="Times New Roman" w:eastAsia="Times New Roman" w:hAnsi="Times New Roman"/>
          <w:sz w:val="21"/>
          <w:szCs w:val="21"/>
          <w:color w:val="auto"/>
        </w:rPr>
        <w:t>1.1.</w:t>
        <w:tab/>
        <w:t>Definitions</w:t>
      </w:r>
      <w:r>
        <w:rPr>
          <w:sz w:val="20"/>
          <w:szCs w:val="20"/>
          <w:color w:val="auto"/>
        </w:rPr>
        <w:tab/>
      </w:r>
      <w:r>
        <w:rPr>
          <w:rFonts w:ascii="Times New Roman" w:cs="Times New Roman" w:eastAsia="Times New Roman" w:hAnsi="Times New Roman"/>
          <w:sz w:val="21"/>
          <w:szCs w:val="21"/>
          <w:color w:val="auto"/>
        </w:rPr>
        <w:t>1</w:t>
      </w:r>
    </w:p>
    <w:p>
      <w:pPr>
        <w:spacing w:after="0" w:line="22" w:lineRule="exact"/>
        <w:rPr>
          <w:sz w:val="20"/>
          <w:szCs w:val="20"/>
          <w:color w:val="auto"/>
        </w:rPr>
      </w:pPr>
    </w:p>
    <w:p>
      <w:pPr>
        <w:ind w:left="640"/>
        <w:spacing w:after="0"/>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1.2.</w:t>
        <w:tab/>
        <w:t>Loan Types</w:t>
      </w:r>
      <w:r>
        <w:rPr>
          <w:sz w:val="20"/>
          <w:szCs w:val="20"/>
          <w:color w:val="auto"/>
        </w:rPr>
        <w:tab/>
      </w:r>
      <w:r>
        <w:rPr>
          <w:rFonts w:ascii="Times New Roman" w:cs="Times New Roman" w:eastAsia="Times New Roman" w:hAnsi="Times New Roman"/>
          <w:sz w:val="21"/>
          <w:szCs w:val="21"/>
          <w:color w:val="auto"/>
        </w:rPr>
        <w:t>29</w:t>
      </w:r>
    </w:p>
    <w:p>
      <w:pPr>
        <w:ind w:left="640"/>
        <w:spacing w:after="0"/>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1.3.</w:t>
        <w:tab/>
        <w:t>Computation of Time Periods</w:t>
      </w:r>
      <w:r>
        <w:rPr>
          <w:sz w:val="20"/>
          <w:szCs w:val="20"/>
          <w:color w:val="auto"/>
        </w:rPr>
        <w:tab/>
      </w:r>
      <w:r>
        <w:rPr>
          <w:rFonts w:ascii="Times New Roman" w:cs="Times New Roman" w:eastAsia="Times New Roman" w:hAnsi="Times New Roman"/>
          <w:sz w:val="20"/>
          <w:szCs w:val="20"/>
          <w:color w:val="auto"/>
        </w:rPr>
        <w:t>29</w:t>
      </w:r>
    </w:p>
    <w:p>
      <w:pPr>
        <w:ind w:left="640"/>
        <w:spacing w:after="0" w:line="237" w:lineRule="auto"/>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1.4.</w:t>
        <w:tab/>
        <w:t>Other Definitional Terms; Interpretative Provisions</w:t>
      </w:r>
      <w:r>
        <w:rPr>
          <w:sz w:val="20"/>
          <w:szCs w:val="20"/>
          <w:color w:val="auto"/>
        </w:rPr>
        <w:tab/>
      </w:r>
      <w:r>
        <w:rPr>
          <w:rFonts w:ascii="Times New Roman" w:cs="Times New Roman" w:eastAsia="Times New Roman" w:hAnsi="Times New Roman"/>
          <w:sz w:val="20"/>
          <w:szCs w:val="20"/>
          <w:color w:val="auto"/>
        </w:rPr>
        <w:t>29</w:t>
      </w:r>
    </w:p>
    <w:p>
      <w:pPr>
        <w:ind w:left="640"/>
        <w:spacing w:after="0"/>
        <w:tabs>
          <w:tab w:leader="none" w:pos="1160" w:val="left"/>
          <w:tab w:leader="dot" w:pos="7980" w:val="left"/>
        </w:tabs>
        <w:rPr>
          <w:sz w:val="20"/>
          <w:szCs w:val="20"/>
          <w:color w:val="auto"/>
        </w:rPr>
      </w:pPr>
      <w:r>
        <w:rPr>
          <w:rFonts w:ascii="Times New Roman" w:cs="Times New Roman" w:eastAsia="Times New Roman" w:hAnsi="Times New Roman"/>
          <w:sz w:val="21"/>
          <w:szCs w:val="21"/>
          <w:color w:val="auto"/>
        </w:rPr>
        <w:t>1.5.</w:t>
        <w:tab/>
        <w:t>Divisions</w:t>
      </w:r>
      <w:r>
        <w:rPr>
          <w:sz w:val="20"/>
          <w:szCs w:val="20"/>
          <w:color w:val="auto"/>
        </w:rPr>
        <w:tab/>
      </w:r>
      <w:r>
        <w:rPr>
          <w:rFonts w:ascii="Times New Roman" w:cs="Times New Roman" w:eastAsia="Times New Roman" w:hAnsi="Times New Roman"/>
          <w:sz w:val="20"/>
          <w:szCs w:val="20"/>
          <w:color w:val="auto"/>
        </w:rPr>
        <w:t>29</w:t>
      </w:r>
    </w:p>
    <w:p>
      <w:pPr>
        <w:ind w:left="640"/>
        <w:spacing w:after="0"/>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1.6.</w:t>
        <w:tab/>
        <w:t>Term SOFR Notification</w:t>
      </w:r>
      <w:r>
        <w:rPr>
          <w:sz w:val="20"/>
          <w:szCs w:val="20"/>
          <w:color w:val="auto"/>
        </w:rPr>
        <w:tab/>
      </w:r>
      <w:r>
        <w:rPr>
          <w:rFonts w:ascii="Times New Roman" w:cs="Times New Roman" w:eastAsia="Times New Roman" w:hAnsi="Times New Roman"/>
          <w:sz w:val="21"/>
          <w:szCs w:val="21"/>
          <w:color w:val="auto"/>
        </w:rPr>
        <w:t>30</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1.7.</w:t>
        <w:tab/>
        <w:t>Facility LC Amounts</w:t>
      </w:r>
      <w:r>
        <w:rPr>
          <w:sz w:val="20"/>
          <w:szCs w:val="20"/>
          <w:color w:val="auto"/>
        </w:rPr>
        <w:tab/>
      </w:r>
      <w:r>
        <w:rPr>
          <w:rFonts w:ascii="Times New Roman" w:cs="Times New Roman" w:eastAsia="Times New Roman" w:hAnsi="Times New Roman"/>
          <w:sz w:val="21"/>
          <w:szCs w:val="21"/>
          <w:color w:val="auto"/>
        </w:rPr>
        <w:t>30</w:t>
      </w:r>
    </w:p>
    <w:p>
      <w:pPr>
        <w:spacing w:after="0" w:line="42" w:lineRule="exact"/>
        <w:rPr>
          <w:sz w:val="20"/>
          <w:szCs w:val="20"/>
          <w:color w:val="auto"/>
        </w:rPr>
      </w:pPr>
    </w:p>
    <w:p>
      <w:pPr>
        <w:spacing w:after="0"/>
        <w:tabs>
          <w:tab w:leader="dot" w:pos="8060" w:val="left"/>
        </w:tabs>
        <w:rPr>
          <w:sz w:val="20"/>
          <w:szCs w:val="20"/>
          <w:color w:val="auto"/>
        </w:rPr>
      </w:pPr>
      <w:r>
        <w:rPr>
          <w:rFonts w:ascii="Times New Roman" w:cs="Times New Roman" w:eastAsia="Times New Roman" w:hAnsi="Times New Roman"/>
          <w:sz w:val="21"/>
          <w:szCs w:val="21"/>
          <w:color w:val="auto"/>
        </w:rPr>
        <w:t>ARTICLE II THE CREDITS</w:t>
      </w:r>
      <w:r>
        <w:rPr>
          <w:sz w:val="20"/>
          <w:szCs w:val="20"/>
          <w:color w:val="auto"/>
        </w:rPr>
        <w:tab/>
      </w:r>
      <w:r>
        <w:rPr>
          <w:rFonts w:ascii="Times New Roman" w:cs="Times New Roman" w:eastAsia="Times New Roman" w:hAnsi="Times New Roman"/>
          <w:sz w:val="20"/>
          <w:szCs w:val="20"/>
          <w:color w:val="auto"/>
        </w:rPr>
        <w:t>30</w:t>
      </w:r>
    </w:p>
    <w:p>
      <w:pPr>
        <w:spacing w:after="0" w:line="66" w:lineRule="exact"/>
        <w:rPr>
          <w:sz w:val="20"/>
          <w:szCs w:val="20"/>
          <w:color w:val="auto"/>
        </w:rPr>
      </w:pP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2.1.</w:t>
        <w:tab/>
        <w:t>Commitment</w:t>
      </w:r>
      <w:r>
        <w:rPr>
          <w:sz w:val="20"/>
          <w:szCs w:val="20"/>
          <w:color w:val="auto"/>
        </w:rPr>
        <w:tab/>
      </w:r>
      <w:r>
        <w:rPr>
          <w:rFonts w:ascii="Times New Roman" w:cs="Times New Roman" w:eastAsia="Times New Roman" w:hAnsi="Times New Roman"/>
          <w:sz w:val="21"/>
          <w:szCs w:val="21"/>
          <w:color w:val="auto"/>
        </w:rPr>
        <w:t>30</w:t>
      </w:r>
    </w:p>
    <w:p>
      <w:pPr>
        <w:spacing w:after="0" w:line="22" w:lineRule="exact"/>
        <w:rPr>
          <w:sz w:val="20"/>
          <w:szCs w:val="20"/>
          <w:color w:val="auto"/>
        </w:rPr>
      </w:pP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2.2.</w:t>
        <w:tab/>
        <w:t>Required Payments</w:t>
      </w:r>
      <w:r>
        <w:rPr>
          <w:sz w:val="20"/>
          <w:szCs w:val="20"/>
          <w:color w:val="auto"/>
        </w:rPr>
        <w:tab/>
      </w:r>
      <w:r>
        <w:rPr>
          <w:rFonts w:ascii="Times New Roman" w:cs="Times New Roman" w:eastAsia="Times New Roman" w:hAnsi="Times New Roman"/>
          <w:sz w:val="21"/>
          <w:szCs w:val="21"/>
          <w:color w:val="auto"/>
        </w:rPr>
        <w:t>31</w:t>
      </w:r>
    </w:p>
    <w:p>
      <w:pPr>
        <w:ind w:left="640"/>
        <w:spacing w:after="0"/>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2.3.</w:t>
        <w:tab/>
        <w:t>Ratable Loans; Types of Advances</w:t>
      </w:r>
      <w:r>
        <w:rPr>
          <w:sz w:val="20"/>
          <w:szCs w:val="20"/>
          <w:color w:val="auto"/>
        </w:rPr>
        <w:tab/>
      </w:r>
      <w:r>
        <w:rPr>
          <w:rFonts w:ascii="Times New Roman" w:cs="Times New Roman" w:eastAsia="Times New Roman" w:hAnsi="Times New Roman"/>
          <w:sz w:val="21"/>
          <w:szCs w:val="21"/>
          <w:color w:val="auto"/>
        </w:rPr>
        <w:t>31</w:t>
      </w:r>
    </w:p>
    <w:p>
      <w:pPr>
        <w:ind w:left="640"/>
        <w:spacing w:after="0"/>
        <w:tabs>
          <w:tab w:leader="none" w:pos="1160" w:val="left"/>
          <w:tab w:leader="dot" w:pos="7980" w:val="left"/>
        </w:tabs>
        <w:rPr>
          <w:sz w:val="20"/>
          <w:szCs w:val="20"/>
          <w:color w:val="auto"/>
        </w:rPr>
      </w:pPr>
      <w:r>
        <w:rPr>
          <w:rFonts w:ascii="Times New Roman" w:cs="Times New Roman" w:eastAsia="Times New Roman" w:hAnsi="Times New Roman"/>
          <w:sz w:val="21"/>
          <w:szCs w:val="21"/>
          <w:color w:val="auto"/>
        </w:rPr>
        <w:t>2.4.</w:t>
        <w:tab/>
        <w:t>Swing Line Loans</w:t>
      </w:r>
      <w:r>
        <w:rPr>
          <w:sz w:val="20"/>
          <w:szCs w:val="20"/>
          <w:color w:val="auto"/>
        </w:rPr>
        <w:tab/>
      </w:r>
      <w:r>
        <w:rPr>
          <w:rFonts w:ascii="Times New Roman" w:cs="Times New Roman" w:eastAsia="Times New Roman" w:hAnsi="Times New Roman"/>
          <w:sz w:val="20"/>
          <w:szCs w:val="20"/>
          <w:color w:val="auto"/>
        </w:rPr>
        <w:t>31</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2.5.</w:t>
        <w:tab/>
        <w:t>Commitment Fee</w:t>
      </w:r>
      <w:r>
        <w:rPr>
          <w:sz w:val="20"/>
          <w:szCs w:val="20"/>
          <w:color w:val="auto"/>
        </w:rPr>
        <w:tab/>
      </w:r>
      <w:r>
        <w:rPr>
          <w:rFonts w:ascii="Times New Roman" w:cs="Times New Roman" w:eastAsia="Times New Roman" w:hAnsi="Times New Roman"/>
          <w:sz w:val="20"/>
          <w:szCs w:val="20"/>
          <w:color w:val="auto"/>
        </w:rPr>
        <w:t>32</w:t>
      </w:r>
    </w:p>
    <w:p>
      <w:pPr>
        <w:ind w:left="640"/>
        <w:spacing w:after="0" w:line="225" w:lineRule="auto"/>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2.6.</w:t>
        <w:tab/>
        <w:t>Minimum Amount of Each Advance</w:t>
      </w:r>
      <w:r>
        <w:rPr>
          <w:sz w:val="20"/>
          <w:szCs w:val="20"/>
          <w:color w:val="auto"/>
        </w:rPr>
        <w:tab/>
      </w:r>
      <w:r>
        <w:rPr>
          <w:rFonts w:ascii="Times New Roman" w:cs="Times New Roman" w:eastAsia="Times New Roman" w:hAnsi="Times New Roman"/>
          <w:sz w:val="21"/>
          <w:szCs w:val="21"/>
          <w:color w:val="auto"/>
        </w:rPr>
        <w:t>33</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2.7.</w:t>
        <w:tab/>
        <w:t>Reductions in Aggregate Commitment; Optional Principal Payments</w:t>
      </w:r>
      <w:r>
        <w:rPr>
          <w:sz w:val="20"/>
          <w:szCs w:val="20"/>
          <w:color w:val="auto"/>
        </w:rPr>
        <w:tab/>
      </w:r>
      <w:r>
        <w:rPr>
          <w:rFonts w:ascii="Times New Roman" w:cs="Times New Roman" w:eastAsia="Times New Roman" w:hAnsi="Times New Roman"/>
          <w:sz w:val="21"/>
          <w:szCs w:val="21"/>
          <w:color w:val="auto"/>
        </w:rPr>
        <w:t>33</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2.8.</w:t>
        <w:tab/>
        <w:t>Method of Selecting Types and Interest Periods for New Advances</w:t>
      </w:r>
      <w:r>
        <w:rPr>
          <w:sz w:val="20"/>
          <w:szCs w:val="20"/>
          <w:color w:val="auto"/>
        </w:rPr>
        <w:tab/>
      </w:r>
      <w:r>
        <w:rPr>
          <w:rFonts w:ascii="Times New Roman" w:cs="Times New Roman" w:eastAsia="Times New Roman" w:hAnsi="Times New Roman"/>
          <w:sz w:val="20"/>
          <w:szCs w:val="20"/>
          <w:color w:val="auto"/>
        </w:rPr>
        <w:t>33</w:t>
      </w: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2.9.</w:t>
        <w:tab/>
        <w:t>Conversion and Continuation of Outstanding Advances; Maximum</w:t>
      </w:r>
    </w:p>
    <w:p>
      <w:pPr>
        <w:ind w:left="1300"/>
        <w:spacing w:after="0"/>
        <w:tabs>
          <w:tab w:leader="dot" w:pos="8040" w:val="left"/>
        </w:tabs>
        <w:rPr>
          <w:sz w:val="20"/>
          <w:szCs w:val="20"/>
          <w:color w:val="auto"/>
        </w:rPr>
      </w:pPr>
      <w:r>
        <w:rPr>
          <w:rFonts w:ascii="Times New Roman" w:cs="Times New Roman" w:eastAsia="Times New Roman" w:hAnsi="Times New Roman"/>
          <w:sz w:val="21"/>
          <w:szCs w:val="21"/>
          <w:color w:val="auto"/>
        </w:rPr>
        <w:t>Number of Interest Periods</w:t>
      </w:r>
      <w:r>
        <w:rPr>
          <w:sz w:val="20"/>
          <w:szCs w:val="20"/>
          <w:color w:val="auto"/>
        </w:rPr>
        <w:tab/>
      </w:r>
      <w:r>
        <w:rPr>
          <w:rFonts w:ascii="Times New Roman" w:cs="Times New Roman" w:eastAsia="Times New Roman" w:hAnsi="Times New Roman"/>
          <w:sz w:val="20"/>
          <w:szCs w:val="20"/>
          <w:color w:val="auto"/>
        </w:rPr>
        <w:t>34</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2.10.</w:t>
        <w:tab/>
        <w:t>Interest Rates</w:t>
      </w:r>
      <w:r>
        <w:rPr>
          <w:sz w:val="20"/>
          <w:szCs w:val="20"/>
          <w:color w:val="auto"/>
        </w:rPr>
        <w:tab/>
      </w:r>
      <w:r>
        <w:rPr>
          <w:rFonts w:ascii="Times New Roman" w:cs="Times New Roman" w:eastAsia="Times New Roman" w:hAnsi="Times New Roman"/>
          <w:sz w:val="21"/>
          <w:szCs w:val="21"/>
          <w:color w:val="auto"/>
        </w:rPr>
        <w:t>35</w:t>
      </w:r>
    </w:p>
    <w:p>
      <w:pPr>
        <w:ind w:left="640"/>
        <w:spacing w:after="0"/>
        <w:tabs>
          <w:tab w:leader="none" w:pos="1260" w:val="left"/>
          <w:tab w:leader="dot" w:pos="8040" w:val="left"/>
        </w:tabs>
        <w:rPr>
          <w:sz w:val="20"/>
          <w:szCs w:val="20"/>
          <w:color w:val="auto"/>
        </w:rPr>
      </w:pPr>
      <w:r>
        <w:rPr>
          <w:rFonts w:ascii="Times New Roman" w:cs="Times New Roman" w:eastAsia="Times New Roman" w:hAnsi="Times New Roman"/>
          <w:sz w:val="21"/>
          <w:szCs w:val="21"/>
          <w:color w:val="auto"/>
        </w:rPr>
        <w:t>2.11.</w:t>
        <w:tab/>
        <w:t>Rates Applicable After Event of Default</w:t>
      </w:r>
      <w:r>
        <w:rPr>
          <w:sz w:val="20"/>
          <w:szCs w:val="20"/>
          <w:color w:val="auto"/>
        </w:rPr>
        <w:tab/>
      </w:r>
      <w:r>
        <w:rPr>
          <w:rFonts w:ascii="Times New Roman" w:cs="Times New Roman" w:eastAsia="Times New Roman" w:hAnsi="Times New Roman"/>
          <w:sz w:val="20"/>
          <w:szCs w:val="20"/>
          <w:color w:val="auto"/>
        </w:rPr>
        <w:t>35</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2.12.</w:t>
        <w:tab/>
        <w:t>Method of Payment</w:t>
      </w:r>
      <w:r>
        <w:rPr>
          <w:sz w:val="20"/>
          <w:szCs w:val="20"/>
          <w:color w:val="auto"/>
        </w:rPr>
        <w:tab/>
      </w:r>
      <w:r>
        <w:rPr>
          <w:rFonts w:ascii="Times New Roman" w:cs="Times New Roman" w:eastAsia="Times New Roman" w:hAnsi="Times New Roman"/>
          <w:sz w:val="20"/>
          <w:szCs w:val="20"/>
          <w:color w:val="auto"/>
        </w:rPr>
        <w:t>35</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2.13.</w:t>
        <w:tab/>
        <w:t>Noteless Agreement; Evidence of Indebtedness</w:t>
      </w:r>
      <w:r>
        <w:rPr>
          <w:sz w:val="20"/>
          <w:szCs w:val="20"/>
          <w:color w:val="auto"/>
        </w:rPr>
        <w:tab/>
      </w:r>
      <w:r>
        <w:rPr>
          <w:rFonts w:ascii="Times New Roman" w:cs="Times New Roman" w:eastAsia="Times New Roman" w:hAnsi="Times New Roman"/>
          <w:sz w:val="20"/>
          <w:szCs w:val="20"/>
          <w:color w:val="auto"/>
        </w:rPr>
        <w:t>36</w:t>
      </w: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2.14.</w:t>
        <w:tab/>
        <w:t>Telephonic Notices</w:t>
      </w:r>
      <w:r>
        <w:rPr>
          <w:sz w:val="20"/>
          <w:szCs w:val="20"/>
          <w:color w:val="auto"/>
        </w:rPr>
        <w:tab/>
      </w:r>
      <w:r>
        <w:rPr>
          <w:rFonts w:ascii="Times New Roman" w:cs="Times New Roman" w:eastAsia="Times New Roman" w:hAnsi="Times New Roman"/>
          <w:sz w:val="21"/>
          <w:szCs w:val="21"/>
          <w:color w:val="auto"/>
        </w:rPr>
        <w:t>36</w:t>
      </w:r>
    </w:p>
    <w:p>
      <w:pPr>
        <w:ind w:left="640"/>
        <w:spacing w:after="0"/>
        <w:tabs>
          <w:tab w:leader="none" w:pos="1280" w:val="left"/>
          <w:tab w:leader="dot" w:pos="8040" w:val="left"/>
        </w:tabs>
        <w:rPr>
          <w:sz w:val="20"/>
          <w:szCs w:val="20"/>
          <w:color w:val="auto"/>
        </w:rPr>
      </w:pPr>
      <w:r>
        <w:rPr>
          <w:rFonts w:ascii="Times New Roman" w:cs="Times New Roman" w:eastAsia="Times New Roman" w:hAnsi="Times New Roman"/>
          <w:sz w:val="21"/>
          <w:szCs w:val="21"/>
          <w:color w:val="auto"/>
        </w:rPr>
        <w:t>2.15.</w:t>
        <w:tab/>
        <w:t>Interest Payment Dates; Interest and Fee Basis</w:t>
      </w:r>
      <w:r>
        <w:rPr>
          <w:sz w:val="20"/>
          <w:szCs w:val="20"/>
          <w:color w:val="auto"/>
        </w:rPr>
        <w:tab/>
      </w:r>
      <w:r>
        <w:rPr>
          <w:rFonts w:ascii="Times New Roman" w:cs="Times New Roman" w:eastAsia="Times New Roman" w:hAnsi="Times New Roman"/>
          <w:sz w:val="20"/>
          <w:szCs w:val="20"/>
          <w:color w:val="auto"/>
        </w:rPr>
        <w:t>37</w:t>
      </w:r>
    </w:p>
    <w:p>
      <w:pPr>
        <w:ind w:left="640"/>
        <w:spacing w:after="0" w:line="225" w:lineRule="auto"/>
        <w:tabs>
          <w:tab w:leader="none" w:pos="1280" w:val="left"/>
        </w:tabs>
        <w:rPr>
          <w:sz w:val="20"/>
          <w:szCs w:val="20"/>
          <w:color w:val="auto"/>
        </w:rPr>
      </w:pPr>
      <w:r>
        <w:rPr>
          <w:rFonts w:ascii="Times New Roman" w:cs="Times New Roman" w:eastAsia="Times New Roman" w:hAnsi="Times New Roman"/>
          <w:sz w:val="21"/>
          <w:szCs w:val="21"/>
          <w:color w:val="auto"/>
        </w:rPr>
        <w:t>2.16.</w:t>
        <w:tab/>
        <w:t>Notification of Advances, Interest Rates, Prepayments and Commitment</w:t>
      </w:r>
    </w:p>
    <w:p>
      <w:pPr>
        <w:ind w:left="1300"/>
        <w:spacing w:after="0"/>
        <w:tabs>
          <w:tab w:leader="dot" w:pos="8060" w:val="left"/>
        </w:tabs>
        <w:rPr>
          <w:sz w:val="20"/>
          <w:szCs w:val="20"/>
          <w:color w:val="auto"/>
        </w:rPr>
      </w:pPr>
      <w:r>
        <w:rPr>
          <w:rFonts w:ascii="Times New Roman" w:cs="Times New Roman" w:eastAsia="Times New Roman" w:hAnsi="Times New Roman"/>
          <w:sz w:val="21"/>
          <w:szCs w:val="21"/>
          <w:color w:val="auto"/>
        </w:rPr>
        <w:t>Reductions</w:t>
      </w:r>
      <w:r>
        <w:rPr>
          <w:sz w:val="20"/>
          <w:szCs w:val="20"/>
          <w:color w:val="auto"/>
        </w:rPr>
        <w:tab/>
      </w:r>
      <w:r>
        <w:rPr>
          <w:rFonts w:ascii="Times New Roman" w:cs="Times New Roman" w:eastAsia="Times New Roman" w:hAnsi="Times New Roman"/>
          <w:sz w:val="21"/>
          <w:szCs w:val="21"/>
          <w:color w:val="auto"/>
        </w:rPr>
        <w:t>37</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2.17.</w:t>
        <w:tab/>
        <w:t>Lending Installations</w:t>
      </w:r>
      <w:r>
        <w:rPr>
          <w:sz w:val="20"/>
          <w:szCs w:val="20"/>
          <w:color w:val="auto"/>
        </w:rPr>
        <w:tab/>
      </w:r>
      <w:r>
        <w:rPr>
          <w:rFonts w:ascii="Times New Roman" w:cs="Times New Roman" w:eastAsia="Times New Roman" w:hAnsi="Times New Roman"/>
          <w:sz w:val="21"/>
          <w:szCs w:val="21"/>
          <w:color w:val="auto"/>
        </w:rPr>
        <w:t>37</w:t>
      </w:r>
    </w:p>
    <w:p>
      <w:pPr>
        <w:ind w:left="640"/>
        <w:spacing w:after="0"/>
        <w:tabs>
          <w:tab w:leader="none" w:pos="1280" w:val="left"/>
          <w:tab w:leader="dot" w:pos="8080" w:val="left"/>
        </w:tabs>
        <w:rPr>
          <w:sz w:val="20"/>
          <w:szCs w:val="20"/>
          <w:color w:val="auto"/>
        </w:rPr>
      </w:pPr>
      <w:r>
        <w:rPr>
          <w:rFonts w:ascii="Times New Roman" w:cs="Times New Roman" w:eastAsia="Times New Roman" w:hAnsi="Times New Roman"/>
          <w:sz w:val="21"/>
          <w:szCs w:val="21"/>
          <w:color w:val="auto"/>
        </w:rPr>
        <w:t>2.18.</w:t>
        <w:tab/>
        <w:t>Non-Receipt of Funds by the Administrative Agent</w:t>
      </w:r>
      <w:r>
        <w:rPr>
          <w:sz w:val="20"/>
          <w:szCs w:val="20"/>
          <w:color w:val="auto"/>
        </w:rPr>
        <w:tab/>
      </w:r>
      <w:r>
        <w:rPr>
          <w:rFonts w:ascii="Times New Roman" w:cs="Times New Roman" w:eastAsia="Times New Roman" w:hAnsi="Times New Roman"/>
          <w:sz w:val="21"/>
          <w:szCs w:val="21"/>
          <w:color w:val="auto"/>
        </w:rPr>
        <w:t>38</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2.19.</w:t>
        <w:tab/>
        <w:t>Facility LCs</w:t>
      </w:r>
      <w:r>
        <w:rPr>
          <w:sz w:val="20"/>
          <w:szCs w:val="20"/>
          <w:color w:val="auto"/>
        </w:rPr>
        <w:tab/>
      </w:r>
      <w:r>
        <w:rPr>
          <w:rFonts w:ascii="Times New Roman" w:cs="Times New Roman" w:eastAsia="Times New Roman" w:hAnsi="Times New Roman"/>
          <w:sz w:val="21"/>
          <w:szCs w:val="21"/>
          <w:color w:val="auto"/>
        </w:rPr>
        <w:t>38</w:t>
      </w:r>
    </w:p>
    <w:p>
      <w:pPr>
        <w:ind w:left="640"/>
        <w:spacing w:after="0"/>
        <w:tabs>
          <w:tab w:leader="none" w:pos="1280" w:val="left"/>
          <w:tab w:leader="dot" w:pos="8020" w:val="left"/>
        </w:tabs>
        <w:rPr>
          <w:sz w:val="20"/>
          <w:szCs w:val="20"/>
          <w:color w:val="auto"/>
        </w:rPr>
      </w:pPr>
      <w:r>
        <w:rPr>
          <w:rFonts w:ascii="Times New Roman" w:cs="Times New Roman" w:eastAsia="Times New Roman" w:hAnsi="Times New Roman"/>
          <w:sz w:val="21"/>
          <w:szCs w:val="21"/>
          <w:color w:val="auto"/>
        </w:rPr>
        <w:t>2.20.</w:t>
        <w:tab/>
        <w:t>Replacement of Lender</w:t>
      </w:r>
      <w:r>
        <w:rPr>
          <w:sz w:val="20"/>
          <w:szCs w:val="20"/>
          <w:color w:val="auto"/>
        </w:rPr>
        <w:tab/>
      </w:r>
      <w:r>
        <w:rPr>
          <w:rFonts w:ascii="Times New Roman" w:cs="Times New Roman" w:eastAsia="Times New Roman" w:hAnsi="Times New Roman"/>
          <w:sz w:val="21"/>
          <w:szCs w:val="21"/>
          <w:color w:val="auto"/>
        </w:rPr>
        <w:t>43</w:t>
      </w:r>
    </w:p>
    <w:p>
      <w:pPr>
        <w:ind w:left="640"/>
        <w:spacing w:after="0"/>
        <w:tabs>
          <w:tab w:leader="none" w:pos="1280" w:val="left"/>
          <w:tab w:leader="dot" w:pos="8020" w:val="left"/>
        </w:tabs>
        <w:rPr>
          <w:sz w:val="20"/>
          <w:szCs w:val="20"/>
          <w:color w:val="auto"/>
        </w:rPr>
      </w:pPr>
      <w:r>
        <w:rPr>
          <w:rFonts w:ascii="Times New Roman" w:cs="Times New Roman" w:eastAsia="Times New Roman" w:hAnsi="Times New Roman"/>
          <w:sz w:val="21"/>
          <w:szCs w:val="21"/>
          <w:color w:val="auto"/>
        </w:rPr>
        <w:t>2.21.</w:t>
        <w:tab/>
        <w:t>Limitation of Interest</w:t>
      </w:r>
      <w:r>
        <w:rPr>
          <w:sz w:val="20"/>
          <w:szCs w:val="20"/>
          <w:color w:val="auto"/>
        </w:rPr>
        <w:tab/>
      </w:r>
      <w:r>
        <w:rPr>
          <w:rFonts w:ascii="Times New Roman" w:cs="Times New Roman" w:eastAsia="Times New Roman" w:hAnsi="Times New Roman"/>
          <w:sz w:val="21"/>
          <w:szCs w:val="21"/>
          <w:color w:val="auto"/>
        </w:rPr>
        <w:t>43</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2.22.</w:t>
        <w:tab/>
        <w:t>Defaulting Lenders</w:t>
      </w:r>
      <w:r>
        <w:rPr>
          <w:sz w:val="20"/>
          <w:szCs w:val="20"/>
          <w:color w:val="auto"/>
        </w:rPr>
        <w:tab/>
      </w:r>
      <w:r>
        <w:rPr>
          <w:rFonts w:ascii="Times New Roman" w:cs="Times New Roman" w:eastAsia="Times New Roman" w:hAnsi="Times New Roman"/>
          <w:sz w:val="21"/>
          <w:szCs w:val="21"/>
          <w:color w:val="auto"/>
        </w:rPr>
        <w:t>44</w:t>
      </w:r>
    </w:p>
    <w:p>
      <w:pPr>
        <w:ind w:left="640"/>
        <w:spacing w:after="0"/>
        <w:tabs>
          <w:tab w:leader="none" w:pos="1280" w:val="left"/>
          <w:tab w:leader="dot" w:pos="8020" w:val="left"/>
        </w:tabs>
        <w:rPr>
          <w:sz w:val="20"/>
          <w:szCs w:val="20"/>
          <w:color w:val="auto"/>
        </w:rPr>
      </w:pPr>
      <w:r>
        <w:rPr>
          <w:rFonts w:ascii="Times New Roman" w:cs="Times New Roman" w:eastAsia="Times New Roman" w:hAnsi="Times New Roman"/>
          <w:sz w:val="21"/>
          <w:szCs w:val="21"/>
          <w:color w:val="auto"/>
        </w:rPr>
        <w:t>2.23.</w:t>
        <w:tab/>
        <w:t>Judgment Currency</w:t>
      </w:r>
      <w:r>
        <w:rPr>
          <w:sz w:val="20"/>
          <w:szCs w:val="20"/>
          <w:color w:val="auto"/>
        </w:rPr>
        <w:tab/>
      </w:r>
      <w:r>
        <w:rPr>
          <w:rFonts w:ascii="Times New Roman" w:cs="Times New Roman" w:eastAsia="Times New Roman" w:hAnsi="Times New Roman"/>
          <w:sz w:val="21"/>
          <w:szCs w:val="21"/>
          <w:color w:val="auto"/>
        </w:rPr>
        <w:t>48</w:t>
      </w:r>
    </w:p>
    <w:p>
      <w:pPr>
        <w:ind w:left="640"/>
        <w:spacing w:after="0"/>
        <w:tabs>
          <w:tab w:leader="none" w:pos="1280" w:val="left"/>
          <w:tab w:leader="dot" w:pos="8040" w:val="left"/>
        </w:tabs>
        <w:rPr>
          <w:sz w:val="20"/>
          <w:szCs w:val="20"/>
          <w:color w:val="auto"/>
        </w:rPr>
      </w:pPr>
      <w:r>
        <w:rPr>
          <w:rFonts w:ascii="Times New Roman" w:cs="Times New Roman" w:eastAsia="Times New Roman" w:hAnsi="Times New Roman"/>
          <w:sz w:val="21"/>
          <w:szCs w:val="21"/>
          <w:color w:val="auto"/>
        </w:rPr>
        <w:t>2.24.</w:t>
        <w:tab/>
        <w:t>Extensions of Commitments</w:t>
      </w:r>
      <w:r>
        <w:rPr>
          <w:sz w:val="20"/>
          <w:szCs w:val="20"/>
          <w:color w:val="auto"/>
        </w:rPr>
        <w:tab/>
      </w:r>
      <w:r>
        <w:rPr>
          <w:rFonts w:ascii="Times New Roman" w:cs="Times New Roman" w:eastAsia="Times New Roman" w:hAnsi="Times New Roman"/>
          <w:sz w:val="21"/>
          <w:szCs w:val="21"/>
          <w:color w:val="auto"/>
        </w:rPr>
        <w:t>48</w:t>
      </w:r>
    </w:p>
    <w:p>
      <w:pPr>
        <w:ind w:left="640"/>
        <w:spacing w:after="0"/>
        <w:tabs>
          <w:tab w:leader="none" w:pos="1280" w:val="left"/>
          <w:tab w:leader="dot" w:pos="8040" w:val="left"/>
        </w:tabs>
        <w:rPr>
          <w:sz w:val="20"/>
          <w:szCs w:val="20"/>
          <w:color w:val="auto"/>
        </w:rPr>
      </w:pPr>
      <w:r>
        <w:rPr>
          <w:rFonts w:ascii="Times New Roman" w:cs="Times New Roman" w:eastAsia="Times New Roman" w:hAnsi="Times New Roman"/>
          <w:sz w:val="21"/>
          <w:szCs w:val="21"/>
          <w:color w:val="auto"/>
        </w:rPr>
        <w:t>2.25.</w:t>
        <w:tab/>
        <w:t>Increase Option</w:t>
      </w:r>
      <w:r>
        <w:rPr>
          <w:sz w:val="20"/>
          <w:szCs w:val="20"/>
          <w:color w:val="auto"/>
        </w:rPr>
        <w:tab/>
      </w:r>
      <w:r>
        <w:rPr>
          <w:rFonts w:ascii="Times New Roman" w:cs="Times New Roman" w:eastAsia="Times New Roman" w:hAnsi="Times New Roman"/>
          <w:sz w:val="20"/>
          <w:szCs w:val="20"/>
          <w:color w:val="auto"/>
        </w:rPr>
        <w:t>50</w:t>
      </w:r>
    </w:p>
    <w:p>
      <w:pPr>
        <w:spacing w:after="0" w:line="42" w:lineRule="exact"/>
        <w:rPr>
          <w:sz w:val="20"/>
          <w:szCs w:val="20"/>
          <w:color w:val="auto"/>
        </w:rPr>
      </w:pPr>
    </w:p>
    <w:p>
      <w:pPr>
        <w:spacing w:after="0"/>
        <w:tabs>
          <w:tab w:leader="dot" w:pos="8020" w:val="left"/>
        </w:tabs>
        <w:rPr>
          <w:sz w:val="20"/>
          <w:szCs w:val="20"/>
          <w:color w:val="auto"/>
        </w:rPr>
      </w:pPr>
      <w:r>
        <w:rPr>
          <w:rFonts w:ascii="Times New Roman" w:cs="Times New Roman" w:eastAsia="Times New Roman" w:hAnsi="Times New Roman"/>
          <w:sz w:val="21"/>
          <w:szCs w:val="21"/>
          <w:color w:val="auto"/>
        </w:rPr>
        <w:t>ARTICLE III YIELD PROTECTION; TAXES</w:t>
      </w:r>
      <w:r>
        <w:rPr>
          <w:sz w:val="20"/>
          <w:szCs w:val="20"/>
          <w:color w:val="auto"/>
        </w:rPr>
        <w:tab/>
      </w:r>
      <w:r>
        <w:rPr>
          <w:rFonts w:ascii="Times New Roman" w:cs="Times New Roman" w:eastAsia="Times New Roman" w:hAnsi="Times New Roman"/>
          <w:sz w:val="21"/>
          <w:szCs w:val="21"/>
          <w:color w:val="auto"/>
        </w:rPr>
        <w:t>52</w:t>
      </w:r>
    </w:p>
    <w:p>
      <w:pPr>
        <w:spacing w:after="0" w:line="53" w:lineRule="exact"/>
        <w:rPr>
          <w:sz w:val="20"/>
          <w:szCs w:val="20"/>
          <w:color w:val="auto"/>
        </w:rPr>
      </w:pP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3.1.</w:t>
        <w:tab/>
        <w:t>Increased Costs</w:t>
      </w:r>
      <w:r>
        <w:rPr>
          <w:sz w:val="20"/>
          <w:szCs w:val="20"/>
          <w:color w:val="auto"/>
        </w:rPr>
        <w:tab/>
      </w:r>
      <w:r>
        <w:rPr>
          <w:rFonts w:ascii="Times New Roman" w:cs="Times New Roman" w:eastAsia="Times New Roman" w:hAnsi="Times New Roman"/>
          <w:sz w:val="21"/>
          <w:szCs w:val="21"/>
          <w:color w:val="auto"/>
        </w:rPr>
        <w:t>52</w:t>
      </w:r>
    </w:p>
    <w:p>
      <w:pPr>
        <w:spacing w:after="0" w:line="22" w:lineRule="exact"/>
        <w:rPr>
          <w:sz w:val="20"/>
          <w:szCs w:val="20"/>
          <w:color w:val="auto"/>
        </w:rPr>
      </w:pPr>
    </w:p>
    <w:p>
      <w:pPr>
        <w:ind w:left="640"/>
        <w:spacing w:after="0"/>
        <w:tabs>
          <w:tab w:leader="none" w:pos="1160" w:val="left"/>
          <w:tab w:leader="dot" w:pos="8000" w:val="left"/>
        </w:tabs>
        <w:rPr>
          <w:sz w:val="20"/>
          <w:szCs w:val="20"/>
          <w:color w:val="auto"/>
        </w:rPr>
      </w:pPr>
      <w:r>
        <w:rPr>
          <w:rFonts w:ascii="Times New Roman" w:cs="Times New Roman" w:eastAsia="Times New Roman" w:hAnsi="Times New Roman"/>
          <w:sz w:val="21"/>
          <w:szCs w:val="21"/>
          <w:color w:val="auto"/>
        </w:rPr>
        <w:t>3.2.</w:t>
        <w:tab/>
        <w:t>Certificates for Reimbursement; Delay in Requests</w:t>
      </w:r>
      <w:r>
        <w:rPr>
          <w:sz w:val="20"/>
          <w:szCs w:val="20"/>
          <w:color w:val="auto"/>
        </w:rPr>
        <w:tab/>
      </w:r>
      <w:r>
        <w:rPr>
          <w:rFonts w:ascii="Times New Roman" w:cs="Times New Roman" w:eastAsia="Times New Roman" w:hAnsi="Times New Roman"/>
          <w:sz w:val="20"/>
          <w:szCs w:val="20"/>
          <w:color w:val="auto"/>
        </w:rPr>
        <w:t>53</w:t>
      </w: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3.3.</w:t>
        <w:tab/>
        <w:t>Availability of Types of Advances; Adequacy of Interest Rate; Benchmark</w:t>
      </w:r>
    </w:p>
    <w:p>
      <w:pPr>
        <w:ind w:left="1300"/>
        <w:spacing w:after="0"/>
        <w:tabs>
          <w:tab w:leader="dot" w:pos="8120" w:val="left"/>
        </w:tabs>
        <w:rPr>
          <w:sz w:val="20"/>
          <w:szCs w:val="20"/>
          <w:color w:val="auto"/>
        </w:rPr>
      </w:pPr>
      <w:r>
        <w:rPr>
          <w:rFonts w:ascii="Times New Roman" w:cs="Times New Roman" w:eastAsia="Times New Roman" w:hAnsi="Times New Roman"/>
          <w:sz w:val="21"/>
          <w:szCs w:val="21"/>
          <w:color w:val="auto"/>
        </w:rPr>
        <w:t>Replacement</w:t>
      </w:r>
      <w:r>
        <w:rPr>
          <w:sz w:val="20"/>
          <w:szCs w:val="20"/>
          <w:color w:val="auto"/>
        </w:rPr>
        <w:tab/>
      </w:r>
      <w:r>
        <w:rPr>
          <w:rFonts w:ascii="Times New Roman" w:cs="Times New Roman" w:eastAsia="Times New Roman" w:hAnsi="Times New Roman"/>
          <w:sz w:val="20"/>
          <w:szCs w:val="20"/>
          <w:color w:val="auto"/>
        </w:rPr>
        <w:t>53</w:t>
      </w:r>
    </w:p>
    <w:p>
      <w:pPr>
        <w:ind w:left="640"/>
        <w:spacing w:after="0"/>
        <w:tabs>
          <w:tab w:leader="none" w:pos="1160" w:val="left"/>
          <w:tab w:leader="dot" w:pos="8000" w:val="left"/>
        </w:tabs>
        <w:rPr>
          <w:sz w:val="20"/>
          <w:szCs w:val="20"/>
          <w:color w:val="auto"/>
        </w:rPr>
      </w:pPr>
      <w:r>
        <w:rPr>
          <w:rFonts w:ascii="Times New Roman" w:cs="Times New Roman" w:eastAsia="Times New Roman" w:hAnsi="Times New Roman"/>
          <w:sz w:val="21"/>
          <w:szCs w:val="21"/>
          <w:color w:val="auto"/>
        </w:rPr>
        <w:t>3.4.</w:t>
        <w:tab/>
        <w:t>Funding Indemnification</w:t>
      </w:r>
      <w:r>
        <w:rPr>
          <w:sz w:val="20"/>
          <w:szCs w:val="20"/>
          <w:color w:val="auto"/>
        </w:rPr>
        <w:tab/>
      </w:r>
      <w:r>
        <w:rPr>
          <w:rFonts w:ascii="Times New Roman" w:cs="Times New Roman" w:eastAsia="Times New Roman" w:hAnsi="Times New Roman"/>
          <w:sz w:val="21"/>
          <w:szCs w:val="21"/>
          <w:color w:val="auto"/>
        </w:rPr>
        <w:t>56</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3.5.</w:t>
        <w:tab/>
        <w:t>Taxes</w:t>
      </w:r>
      <w:r>
        <w:rPr>
          <w:sz w:val="20"/>
          <w:szCs w:val="20"/>
          <w:color w:val="auto"/>
        </w:rPr>
        <w:tab/>
      </w:r>
      <w:r>
        <w:rPr>
          <w:rFonts w:ascii="Times New Roman" w:cs="Times New Roman" w:eastAsia="Times New Roman" w:hAnsi="Times New Roman"/>
          <w:sz w:val="21"/>
          <w:szCs w:val="21"/>
          <w:color w:val="auto"/>
        </w:rPr>
        <w:t>56</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40"/>
          </w:cols>
          <w:pgMar w:left="320" w:top="121" w:right="439" w:bottom="1440" w:gutter="0" w:footer="0" w:header="0"/>
          <w:type w:val="continuous"/>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3.6.</w:t>
        <w:tab/>
        <w:t>Selection of Lending Installation; Mitigation Obligations; Lender</w:t>
      </w:r>
    </w:p>
    <w:p>
      <w:pPr>
        <w:spacing w:after="0" w:line="22" w:lineRule="exact"/>
        <w:rPr>
          <w:sz w:val="20"/>
          <w:szCs w:val="20"/>
          <w:color w:val="auto"/>
        </w:rPr>
      </w:pPr>
    </w:p>
    <w:p>
      <w:pPr>
        <w:ind w:left="1300"/>
        <w:spacing w:after="0"/>
        <w:tabs>
          <w:tab w:leader="dot" w:pos="8100" w:val="left"/>
        </w:tabs>
        <w:rPr>
          <w:sz w:val="20"/>
          <w:szCs w:val="20"/>
          <w:color w:val="auto"/>
        </w:rPr>
      </w:pPr>
      <w:r>
        <w:rPr>
          <w:rFonts w:ascii="Times New Roman" w:cs="Times New Roman" w:eastAsia="Times New Roman" w:hAnsi="Times New Roman"/>
          <w:sz w:val="21"/>
          <w:szCs w:val="21"/>
          <w:color w:val="auto"/>
        </w:rPr>
        <w:t>Statements; Survival of Indemnity</w:t>
      </w:r>
      <w:r>
        <w:rPr>
          <w:sz w:val="20"/>
          <w:szCs w:val="20"/>
          <w:color w:val="auto"/>
        </w:rPr>
        <w:tab/>
      </w:r>
      <w:r>
        <w:rPr>
          <w:rFonts w:ascii="Times New Roman" w:cs="Times New Roman" w:eastAsia="Times New Roman" w:hAnsi="Times New Roman"/>
          <w:sz w:val="21"/>
          <w:szCs w:val="21"/>
          <w:color w:val="auto"/>
        </w:rPr>
        <w:t>60</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3.7.</w:t>
        <w:tab/>
        <w:t>Illegality</w:t>
      </w:r>
      <w:r>
        <w:rPr>
          <w:sz w:val="20"/>
          <w:szCs w:val="20"/>
          <w:color w:val="auto"/>
        </w:rPr>
        <w:tab/>
      </w:r>
      <w:r>
        <w:rPr>
          <w:rFonts w:ascii="Times New Roman" w:cs="Times New Roman" w:eastAsia="Times New Roman" w:hAnsi="Times New Roman"/>
          <w:sz w:val="21"/>
          <w:szCs w:val="21"/>
          <w:color w:val="auto"/>
        </w:rPr>
        <w:t>60</w:t>
      </w:r>
    </w:p>
    <w:p>
      <w:pPr>
        <w:spacing w:after="0" w:line="42" w:lineRule="exact"/>
        <w:rPr>
          <w:sz w:val="20"/>
          <w:szCs w:val="20"/>
          <w:color w:val="auto"/>
        </w:rPr>
      </w:pPr>
    </w:p>
    <w:p>
      <w:pPr>
        <w:spacing w:after="0"/>
        <w:tabs>
          <w:tab w:leader="dot" w:pos="8020" w:val="left"/>
        </w:tabs>
        <w:rPr>
          <w:sz w:val="20"/>
          <w:szCs w:val="20"/>
          <w:color w:val="auto"/>
        </w:rPr>
      </w:pPr>
      <w:r>
        <w:rPr>
          <w:rFonts w:ascii="Times New Roman" w:cs="Times New Roman" w:eastAsia="Times New Roman" w:hAnsi="Times New Roman"/>
          <w:sz w:val="21"/>
          <w:szCs w:val="21"/>
          <w:color w:val="auto"/>
        </w:rPr>
        <w:t>ARTICLE IV CONDITIONS PRECEDENT</w:t>
      </w:r>
      <w:r>
        <w:rPr>
          <w:sz w:val="20"/>
          <w:szCs w:val="20"/>
          <w:color w:val="auto"/>
        </w:rPr>
        <w:tab/>
      </w:r>
      <w:r>
        <w:rPr>
          <w:rFonts w:ascii="Times New Roman" w:cs="Times New Roman" w:eastAsia="Times New Roman" w:hAnsi="Times New Roman"/>
          <w:sz w:val="21"/>
          <w:szCs w:val="21"/>
          <w:color w:val="auto"/>
        </w:rPr>
        <w:t>61</w:t>
      </w:r>
    </w:p>
    <w:p>
      <w:pPr>
        <w:spacing w:after="0" w:line="66" w:lineRule="exact"/>
        <w:rPr>
          <w:sz w:val="20"/>
          <w:szCs w:val="20"/>
          <w:color w:val="auto"/>
        </w:rPr>
      </w:pPr>
    </w:p>
    <w:p>
      <w:pPr>
        <w:ind w:left="640"/>
        <w:spacing w:after="0"/>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4.1.</w:t>
        <w:tab/>
        <w:t>Initial Credit Extension</w:t>
      </w:r>
      <w:r>
        <w:rPr>
          <w:sz w:val="20"/>
          <w:szCs w:val="20"/>
          <w:color w:val="auto"/>
        </w:rPr>
        <w:tab/>
      </w:r>
      <w:r>
        <w:rPr>
          <w:rFonts w:ascii="Times New Roman" w:cs="Times New Roman" w:eastAsia="Times New Roman" w:hAnsi="Times New Roman"/>
          <w:sz w:val="20"/>
          <w:szCs w:val="20"/>
          <w:color w:val="auto"/>
        </w:rPr>
        <w:t>61</w:t>
      </w:r>
    </w:p>
    <w:p>
      <w:pPr>
        <w:spacing w:after="0" w:line="10" w:lineRule="exact"/>
        <w:rPr>
          <w:sz w:val="20"/>
          <w:szCs w:val="20"/>
          <w:color w:val="auto"/>
        </w:rPr>
      </w:pP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4.2.</w:t>
        <w:tab/>
        <w:t>Each Credit Extension</w:t>
      </w:r>
      <w:r>
        <w:rPr>
          <w:sz w:val="20"/>
          <w:szCs w:val="20"/>
          <w:color w:val="auto"/>
        </w:rPr>
        <w:tab/>
      </w:r>
      <w:r>
        <w:rPr>
          <w:rFonts w:ascii="Times New Roman" w:cs="Times New Roman" w:eastAsia="Times New Roman" w:hAnsi="Times New Roman"/>
          <w:sz w:val="21"/>
          <w:szCs w:val="21"/>
          <w:color w:val="auto"/>
        </w:rPr>
        <w:t>63</w:t>
      </w:r>
    </w:p>
    <w:p>
      <w:pPr>
        <w:spacing w:after="0" w:line="42" w:lineRule="exact"/>
        <w:rPr>
          <w:sz w:val="20"/>
          <w:szCs w:val="20"/>
          <w:color w:val="auto"/>
        </w:rPr>
      </w:pPr>
    </w:p>
    <w:p>
      <w:pPr>
        <w:spacing w:after="0"/>
        <w:tabs>
          <w:tab w:leader="dot" w:pos="7980" w:val="left"/>
        </w:tabs>
        <w:rPr>
          <w:sz w:val="20"/>
          <w:szCs w:val="20"/>
          <w:color w:val="auto"/>
        </w:rPr>
      </w:pPr>
      <w:r>
        <w:rPr>
          <w:rFonts w:ascii="Times New Roman" w:cs="Times New Roman" w:eastAsia="Times New Roman" w:hAnsi="Times New Roman"/>
          <w:sz w:val="21"/>
          <w:szCs w:val="21"/>
          <w:color w:val="auto"/>
        </w:rPr>
        <w:t>ARTICLE V REPRESENTATIONS AND WARRANTIES</w:t>
      </w:r>
      <w:r>
        <w:rPr>
          <w:sz w:val="20"/>
          <w:szCs w:val="20"/>
          <w:color w:val="auto"/>
        </w:rPr>
        <w:tab/>
      </w:r>
      <w:r>
        <w:rPr>
          <w:rFonts w:ascii="Times New Roman" w:cs="Times New Roman" w:eastAsia="Times New Roman" w:hAnsi="Times New Roman"/>
          <w:sz w:val="20"/>
          <w:szCs w:val="20"/>
          <w:color w:val="auto"/>
        </w:rPr>
        <w:t>64</w:t>
      </w:r>
    </w:p>
    <w:p>
      <w:pPr>
        <w:spacing w:after="0" w:line="66" w:lineRule="exact"/>
        <w:rPr>
          <w:sz w:val="20"/>
          <w:szCs w:val="20"/>
          <w:color w:val="auto"/>
        </w:rPr>
      </w:pPr>
    </w:p>
    <w:p>
      <w:pPr>
        <w:ind w:left="640"/>
        <w:spacing w:after="0"/>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5.1.</w:t>
        <w:tab/>
        <w:t>Existence and Standing</w:t>
      </w:r>
      <w:r>
        <w:rPr>
          <w:sz w:val="20"/>
          <w:szCs w:val="20"/>
          <w:color w:val="auto"/>
        </w:rPr>
        <w:tab/>
      </w:r>
      <w:r>
        <w:rPr>
          <w:rFonts w:ascii="Times New Roman" w:cs="Times New Roman" w:eastAsia="Times New Roman" w:hAnsi="Times New Roman"/>
          <w:sz w:val="20"/>
          <w:szCs w:val="20"/>
          <w:color w:val="auto"/>
        </w:rPr>
        <w:t>64</w:t>
      </w:r>
    </w:p>
    <w:p>
      <w:pPr>
        <w:spacing w:after="0" w:line="22" w:lineRule="exact"/>
        <w:rPr>
          <w:sz w:val="20"/>
          <w:szCs w:val="20"/>
          <w:color w:val="auto"/>
        </w:rPr>
      </w:pPr>
    </w:p>
    <w:p>
      <w:pPr>
        <w:ind w:left="640"/>
        <w:spacing w:after="0"/>
        <w:tabs>
          <w:tab w:leader="none" w:pos="1160" w:val="left"/>
          <w:tab w:leader="dot" w:pos="7920" w:val="left"/>
        </w:tabs>
        <w:rPr>
          <w:sz w:val="20"/>
          <w:szCs w:val="20"/>
          <w:color w:val="auto"/>
        </w:rPr>
      </w:pPr>
      <w:r>
        <w:rPr>
          <w:rFonts w:ascii="Times New Roman" w:cs="Times New Roman" w:eastAsia="Times New Roman" w:hAnsi="Times New Roman"/>
          <w:sz w:val="21"/>
          <w:szCs w:val="21"/>
          <w:color w:val="auto"/>
        </w:rPr>
        <w:t>5.2.</w:t>
        <w:tab/>
        <w:t>Authorization and Validity</w:t>
      </w:r>
      <w:r>
        <w:rPr>
          <w:sz w:val="20"/>
          <w:szCs w:val="20"/>
          <w:color w:val="auto"/>
        </w:rPr>
        <w:tab/>
      </w:r>
      <w:r>
        <w:rPr>
          <w:rFonts w:ascii="Times New Roman" w:cs="Times New Roman" w:eastAsia="Times New Roman" w:hAnsi="Times New Roman"/>
          <w:sz w:val="20"/>
          <w:szCs w:val="20"/>
          <w:color w:val="auto"/>
        </w:rPr>
        <w:t>64</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5.3.</w:t>
        <w:tab/>
        <w:t>No Conflict; Government Consent</w:t>
      </w:r>
      <w:r>
        <w:rPr>
          <w:sz w:val="20"/>
          <w:szCs w:val="20"/>
          <w:color w:val="auto"/>
        </w:rPr>
        <w:tab/>
      </w:r>
      <w:r>
        <w:rPr>
          <w:rFonts w:ascii="Times New Roman" w:cs="Times New Roman" w:eastAsia="Times New Roman" w:hAnsi="Times New Roman"/>
          <w:sz w:val="21"/>
          <w:szCs w:val="21"/>
          <w:color w:val="auto"/>
        </w:rPr>
        <w:t>64</w:t>
      </w:r>
    </w:p>
    <w:p>
      <w:pPr>
        <w:ind w:left="640"/>
        <w:spacing w:after="0"/>
        <w:tabs>
          <w:tab w:leader="none" w:pos="1160" w:val="left"/>
          <w:tab w:leader="dot" w:pos="7920" w:val="left"/>
        </w:tabs>
        <w:rPr>
          <w:sz w:val="20"/>
          <w:szCs w:val="20"/>
          <w:color w:val="auto"/>
        </w:rPr>
      </w:pPr>
      <w:r>
        <w:rPr>
          <w:rFonts w:ascii="Times New Roman" w:cs="Times New Roman" w:eastAsia="Times New Roman" w:hAnsi="Times New Roman"/>
          <w:sz w:val="21"/>
          <w:szCs w:val="21"/>
          <w:color w:val="auto"/>
        </w:rPr>
        <w:t>5.4.</w:t>
        <w:tab/>
        <w:t>Financial Statements</w:t>
      </w:r>
      <w:r>
        <w:rPr>
          <w:sz w:val="20"/>
          <w:szCs w:val="20"/>
          <w:color w:val="auto"/>
        </w:rPr>
        <w:tab/>
      </w:r>
      <w:r>
        <w:rPr>
          <w:rFonts w:ascii="Times New Roman" w:cs="Times New Roman" w:eastAsia="Times New Roman" w:hAnsi="Times New Roman"/>
          <w:sz w:val="21"/>
          <w:szCs w:val="21"/>
          <w:color w:val="auto"/>
        </w:rPr>
        <w:t>65</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5.5.</w:t>
        <w:tab/>
        <w:t>Material Adverse Change</w:t>
      </w:r>
      <w:r>
        <w:rPr>
          <w:sz w:val="20"/>
          <w:szCs w:val="20"/>
          <w:color w:val="auto"/>
        </w:rPr>
        <w:tab/>
      </w:r>
      <w:r>
        <w:rPr>
          <w:rFonts w:ascii="Times New Roman" w:cs="Times New Roman" w:eastAsia="Times New Roman" w:hAnsi="Times New Roman"/>
          <w:sz w:val="21"/>
          <w:szCs w:val="21"/>
          <w:color w:val="auto"/>
        </w:rPr>
        <w:t>65</w:t>
      </w:r>
    </w:p>
    <w:p>
      <w:pPr>
        <w:ind w:left="640"/>
        <w:spacing w:after="0"/>
        <w:tabs>
          <w:tab w:leader="none" w:pos="1160" w:val="left"/>
          <w:tab w:leader="dot" w:pos="7920" w:val="left"/>
        </w:tabs>
        <w:rPr>
          <w:sz w:val="20"/>
          <w:szCs w:val="20"/>
          <w:color w:val="auto"/>
        </w:rPr>
      </w:pPr>
      <w:r>
        <w:rPr>
          <w:rFonts w:ascii="Times New Roman" w:cs="Times New Roman" w:eastAsia="Times New Roman" w:hAnsi="Times New Roman"/>
          <w:sz w:val="21"/>
          <w:szCs w:val="21"/>
          <w:color w:val="auto"/>
        </w:rPr>
        <w:t>5.6.</w:t>
        <w:tab/>
        <w:t>Taxes</w:t>
      </w:r>
      <w:r>
        <w:rPr>
          <w:sz w:val="20"/>
          <w:szCs w:val="20"/>
          <w:color w:val="auto"/>
        </w:rPr>
        <w:tab/>
      </w:r>
      <w:r>
        <w:rPr>
          <w:rFonts w:ascii="Times New Roman" w:cs="Times New Roman" w:eastAsia="Times New Roman" w:hAnsi="Times New Roman"/>
          <w:sz w:val="20"/>
          <w:szCs w:val="20"/>
          <w:color w:val="auto"/>
        </w:rPr>
        <w:t>65</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5.7.</w:t>
        <w:tab/>
        <w:t>Litigation and Contingent Obligations</w:t>
      </w:r>
      <w:r>
        <w:rPr>
          <w:sz w:val="20"/>
          <w:szCs w:val="20"/>
          <w:color w:val="auto"/>
        </w:rPr>
        <w:tab/>
      </w:r>
      <w:r>
        <w:rPr>
          <w:rFonts w:ascii="Times New Roman" w:cs="Times New Roman" w:eastAsia="Times New Roman" w:hAnsi="Times New Roman"/>
          <w:sz w:val="21"/>
          <w:szCs w:val="21"/>
          <w:color w:val="auto"/>
        </w:rPr>
        <w:t>65</w:t>
      </w:r>
    </w:p>
    <w:p>
      <w:pPr>
        <w:ind w:left="640"/>
        <w:spacing w:after="0" w:line="237" w:lineRule="auto"/>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5.8.</w:t>
        <w:tab/>
        <w:t>Subsidiaries</w:t>
      </w:r>
      <w:r>
        <w:rPr>
          <w:sz w:val="20"/>
          <w:szCs w:val="20"/>
          <w:color w:val="auto"/>
        </w:rPr>
        <w:tab/>
      </w:r>
      <w:r>
        <w:rPr>
          <w:rFonts w:ascii="Times New Roman" w:cs="Times New Roman" w:eastAsia="Times New Roman" w:hAnsi="Times New Roman"/>
          <w:sz w:val="20"/>
          <w:szCs w:val="20"/>
          <w:color w:val="auto"/>
        </w:rPr>
        <w:t>65</w:t>
      </w:r>
    </w:p>
    <w:p>
      <w:pPr>
        <w:ind w:left="640"/>
        <w:spacing w:after="0"/>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5.9.</w:t>
        <w:tab/>
        <w:t>ERISA</w:t>
      </w:r>
      <w:r>
        <w:rPr>
          <w:sz w:val="20"/>
          <w:szCs w:val="20"/>
          <w:color w:val="auto"/>
        </w:rPr>
        <w:tab/>
      </w:r>
      <w:r>
        <w:rPr>
          <w:rFonts w:ascii="Times New Roman" w:cs="Times New Roman" w:eastAsia="Times New Roman" w:hAnsi="Times New Roman"/>
          <w:sz w:val="20"/>
          <w:szCs w:val="20"/>
          <w:color w:val="auto"/>
        </w:rPr>
        <w:t>65</w:t>
      </w:r>
    </w:p>
    <w:p>
      <w:pPr>
        <w:ind w:left="640"/>
        <w:spacing w:after="0"/>
        <w:tabs>
          <w:tab w:leader="none" w:pos="1260" w:val="left"/>
          <w:tab w:leader="dot" w:pos="8040" w:val="left"/>
        </w:tabs>
        <w:rPr>
          <w:sz w:val="20"/>
          <w:szCs w:val="20"/>
          <w:color w:val="auto"/>
        </w:rPr>
      </w:pPr>
      <w:r>
        <w:rPr>
          <w:rFonts w:ascii="Times New Roman" w:cs="Times New Roman" w:eastAsia="Times New Roman" w:hAnsi="Times New Roman"/>
          <w:sz w:val="21"/>
          <w:szCs w:val="21"/>
          <w:color w:val="auto"/>
        </w:rPr>
        <w:t>5.10.</w:t>
        <w:tab/>
        <w:t>Accuracy of Information</w:t>
      </w:r>
      <w:r>
        <w:rPr>
          <w:sz w:val="20"/>
          <w:szCs w:val="20"/>
          <w:color w:val="auto"/>
        </w:rPr>
        <w:tab/>
      </w:r>
      <w:r>
        <w:rPr>
          <w:rFonts w:ascii="Times New Roman" w:cs="Times New Roman" w:eastAsia="Times New Roman" w:hAnsi="Times New Roman"/>
          <w:sz w:val="21"/>
          <w:szCs w:val="21"/>
          <w:color w:val="auto"/>
        </w:rPr>
        <w:t>66</w:t>
      </w:r>
    </w:p>
    <w:p>
      <w:pPr>
        <w:ind w:left="640"/>
        <w:spacing w:after="0"/>
        <w:tabs>
          <w:tab w:leader="none" w:pos="1260" w:val="left"/>
          <w:tab w:leader="dot" w:pos="8020" w:val="left"/>
        </w:tabs>
        <w:rPr>
          <w:sz w:val="20"/>
          <w:szCs w:val="20"/>
          <w:color w:val="auto"/>
        </w:rPr>
      </w:pPr>
      <w:r>
        <w:rPr>
          <w:rFonts w:ascii="Times New Roman" w:cs="Times New Roman" w:eastAsia="Times New Roman" w:hAnsi="Times New Roman"/>
          <w:sz w:val="21"/>
          <w:szCs w:val="21"/>
          <w:color w:val="auto"/>
        </w:rPr>
        <w:t>5.11.</w:t>
        <w:tab/>
        <w:t>Regulation U</w:t>
      </w:r>
      <w:r>
        <w:rPr>
          <w:sz w:val="20"/>
          <w:szCs w:val="20"/>
          <w:color w:val="auto"/>
        </w:rPr>
        <w:tab/>
      </w:r>
      <w:r>
        <w:rPr>
          <w:rFonts w:ascii="Times New Roman" w:cs="Times New Roman" w:eastAsia="Times New Roman" w:hAnsi="Times New Roman"/>
          <w:sz w:val="21"/>
          <w:szCs w:val="21"/>
          <w:color w:val="auto"/>
        </w:rPr>
        <w:t>66</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5.12.</w:t>
        <w:tab/>
        <w:t>Material Agreements</w:t>
      </w:r>
      <w:r>
        <w:rPr>
          <w:sz w:val="20"/>
          <w:szCs w:val="20"/>
          <w:color w:val="auto"/>
        </w:rPr>
        <w:tab/>
      </w:r>
      <w:r>
        <w:rPr>
          <w:rFonts w:ascii="Times New Roman" w:cs="Times New Roman" w:eastAsia="Times New Roman" w:hAnsi="Times New Roman"/>
          <w:sz w:val="21"/>
          <w:szCs w:val="21"/>
          <w:color w:val="auto"/>
        </w:rPr>
        <w:t>66</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5.13.</w:t>
        <w:tab/>
        <w:t>Compliance With Laws</w:t>
      </w:r>
      <w:r>
        <w:rPr>
          <w:sz w:val="20"/>
          <w:szCs w:val="20"/>
          <w:color w:val="auto"/>
        </w:rPr>
        <w:tab/>
      </w:r>
      <w:r>
        <w:rPr>
          <w:rFonts w:ascii="Times New Roman" w:cs="Times New Roman" w:eastAsia="Times New Roman" w:hAnsi="Times New Roman"/>
          <w:sz w:val="20"/>
          <w:szCs w:val="20"/>
          <w:color w:val="auto"/>
        </w:rPr>
        <w:t>66</w:t>
      </w:r>
    </w:p>
    <w:p>
      <w:pPr>
        <w:ind w:left="640"/>
        <w:spacing w:after="0"/>
        <w:tabs>
          <w:tab w:leader="none" w:pos="1220" w:val="left"/>
          <w:tab w:leader="dot" w:pos="8020" w:val="left"/>
        </w:tabs>
        <w:rPr>
          <w:sz w:val="20"/>
          <w:szCs w:val="20"/>
          <w:color w:val="auto"/>
        </w:rPr>
      </w:pPr>
      <w:r>
        <w:rPr>
          <w:rFonts w:ascii="Times New Roman" w:cs="Times New Roman" w:eastAsia="Times New Roman" w:hAnsi="Times New Roman"/>
          <w:sz w:val="21"/>
          <w:szCs w:val="21"/>
          <w:color w:val="auto"/>
        </w:rPr>
        <w:t>5.14</w:t>
        <w:tab/>
        <w:t>Ownership of Properties</w:t>
      </w:r>
      <w:r>
        <w:rPr>
          <w:sz w:val="20"/>
          <w:szCs w:val="20"/>
          <w:color w:val="auto"/>
        </w:rPr>
        <w:tab/>
      </w:r>
      <w:r>
        <w:rPr>
          <w:rFonts w:ascii="Times New Roman" w:cs="Times New Roman" w:eastAsia="Times New Roman" w:hAnsi="Times New Roman"/>
          <w:sz w:val="21"/>
          <w:szCs w:val="21"/>
          <w:color w:val="auto"/>
        </w:rPr>
        <w:t>66</w:t>
      </w:r>
    </w:p>
    <w:p>
      <w:pPr>
        <w:ind w:left="640"/>
        <w:spacing w:after="0"/>
        <w:tabs>
          <w:tab w:leader="none" w:pos="1280" w:val="left"/>
          <w:tab w:leader="dot" w:pos="8040" w:val="left"/>
        </w:tabs>
        <w:rPr>
          <w:sz w:val="20"/>
          <w:szCs w:val="20"/>
          <w:color w:val="auto"/>
        </w:rPr>
      </w:pPr>
      <w:r>
        <w:rPr>
          <w:rFonts w:ascii="Times New Roman" w:cs="Times New Roman" w:eastAsia="Times New Roman" w:hAnsi="Times New Roman"/>
          <w:sz w:val="21"/>
          <w:szCs w:val="21"/>
          <w:color w:val="auto"/>
        </w:rPr>
        <w:t>5.15.</w:t>
        <w:tab/>
        <w:t>Plan Assets; Prohibited Transactions</w:t>
      </w:r>
      <w:r>
        <w:rPr>
          <w:sz w:val="20"/>
          <w:szCs w:val="20"/>
          <w:color w:val="auto"/>
        </w:rPr>
        <w:tab/>
      </w:r>
      <w:r>
        <w:rPr>
          <w:rFonts w:ascii="Times New Roman" w:cs="Times New Roman" w:eastAsia="Times New Roman" w:hAnsi="Times New Roman"/>
          <w:sz w:val="21"/>
          <w:szCs w:val="21"/>
          <w:color w:val="auto"/>
        </w:rPr>
        <w:t>66</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5.16.</w:t>
        <w:tab/>
        <w:t>Environmental Matters</w:t>
      </w:r>
      <w:r>
        <w:rPr>
          <w:sz w:val="20"/>
          <w:szCs w:val="20"/>
          <w:color w:val="auto"/>
        </w:rPr>
        <w:tab/>
      </w:r>
      <w:r>
        <w:rPr>
          <w:rFonts w:ascii="Times New Roman" w:cs="Times New Roman" w:eastAsia="Times New Roman" w:hAnsi="Times New Roman"/>
          <w:sz w:val="21"/>
          <w:szCs w:val="21"/>
          <w:color w:val="auto"/>
        </w:rPr>
        <w:t>67</w:t>
      </w:r>
    </w:p>
    <w:p>
      <w:pPr>
        <w:ind w:left="640"/>
        <w:spacing w:after="0"/>
        <w:tabs>
          <w:tab w:leader="none" w:pos="1280" w:val="left"/>
          <w:tab w:leader="dot" w:pos="8080" w:val="left"/>
        </w:tabs>
        <w:rPr>
          <w:sz w:val="20"/>
          <w:szCs w:val="20"/>
          <w:color w:val="auto"/>
        </w:rPr>
      </w:pPr>
      <w:r>
        <w:rPr>
          <w:rFonts w:ascii="Times New Roman" w:cs="Times New Roman" w:eastAsia="Times New Roman" w:hAnsi="Times New Roman"/>
          <w:sz w:val="21"/>
          <w:szCs w:val="21"/>
          <w:color w:val="auto"/>
        </w:rPr>
        <w:t>5.17.</w:t>
        <w:tab/>
        <w:t>Investment Company Act</w:t>
      </w:r>
      <w:r>
        <w:rPr>
          <w:sz w:val="20"/>
          <w:szCs w:val="20"/>
          <w:color w:val="auto"/>
        </w:rPr>
        <w:tab/>
      </w:r>
      <w:r>
        <w:rPr>
          <w:rFonts w:ascii="Times New Roman" w:cs="Times New Roman" w:eastAsia="Times New Roman" w:hAnsi="Times New Roman"/>
          <w:sz w:val="20"/>
          <w:szCs w:val="20"/>
          <w:color w:val="auto"/>
        </w:rPr>
        <w:t>67</w:t>
      </w:r>
    </w:p>
    <w:p>
      <w:pPr>
        <w:ind w:left="640"/>
        <w:spacing w:after="0"/>
        <w:tabs>
          <w:tab w:leader="none" w:pos="1280" w:val="left"/>
          <w:tab w:leader="dot" w:pos="8040" w:val="left"/>
        </w:tabs>
        <w:rPr>
          <w:sz w:val="20"/>
          <w:szCs w:val="20"/>
          <w:color w:val="auto"/>
        </w:rPr>
      </w:pPr>
      <w:r>
        <w:rPr>
          <w:rFonts w:ascii="Times New Roman" w:cs="Times New Roman" w:eastAsia="Times New Roman" w:hAnsi="Times New Roman"/>
          <w:sz w:val="21"/>
          <w:szCs w:val="21"/>
          <w:color w:val="auto"/>
        </w:rPr>
        <w:t>5.18.</w:t>
        <w:tab/>
        <w:t>Insurance</w:t>
      </w:r>
      <w:r>
        <w:rPr>
          <w:sz w:val="20"/>
          <w:szCs w:val="20"/>
          <w:color w:val="auto"/>
        </w:rPr>
        <w:tab/>
      </w:r>
      <w:r>
        <w:rPr>
          <w:rFonts w:ascii="Times New Roman" w:cs="Times New Roman" w:eastAsia="Times New Roman" w:hAnsi="Times New Roman"/>
          <w:sz w:val="21"/>
          <w:szCs w:val="21"/>
          <w:color w:val="auto"/>
        </w:rPr>
        <w:t>67</w:t>
      </w:r>
    </w:p>
    <w:p>
      <w:pPr>
        <w:ind w:left="640"/>
        <w:spacing w:after="0" w:line="225" w:lineRule="auto"/>
        <w:tabs>
          <w:tab w:leader="none" w:pos="1280" w:val="left"/>
          <w:tab w:leader="dot" w:pos="8040" w:val="left"/>
        </w:tabs>
        <w:rPr>
          <w:sz w:val="20"/>
          <w:szCs w:val="20"/>
          <w:color w:val="auto"/>
        </w:rPr>
      </w:pPr>
      <w:r>
        <w:rPr>
          <w:rFonts w:ascii="Times New Roman" w:cs="Times New Roman" w:eastAsia="Times New Roman" w:hAnsi="Times New Roman"/>
          <w:sz w:val="21"/>
          <w:szCs w:val="21"/>
          <w:color w:val="auto"/>
        </w:rPr>
        <w:t>5.19.</w:t>
        <w:tab/>
        <w:t>Solvency</w:t>
      </w:r>
      <w:r>
        <w:rPr>
          <w:sz w:val="20"/>
          <w:szCs w:val="20"/>
          <w:color w:val="auto"/>
        </w:rPr>
        <w:tab/>
      </w:r>
      <w:r>
        <w:rPr>
          <w:rFonts w:ascii="Times New Roman" w:cs="Times New Roman" w:eastAsia="Times New Roman" w:hAnsi="Times New Roman"/>
          <w:sz w:val="21"/>
          <w:szCs w:val="21"/>
          <w:color w:val="auto"/>
        </w:rPr>
        <w:t>67</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5.20.</w:t>
        <w:tab/>
        <w:t>No Default</w:t>
      </w:r>
      <w:r>
        <w:rPr>
          <w:sz w:val="20"/>
          <w:szCs w:val="20"/>
          <w:color w:val="auto"/>
        </w:rPr>
        <w:tab/>
      </w:r>
      <w:r>
        <w:rPr>
          <w:rFonts w:ascii="Times New Roman" w:cs="Times New Roman" w:eastAsia="Times New Roman" w:hAnsi="Times New Roman"/>
          <w:sz w:val="21"/>
          <w:szCs w:val="21"/>
          <w:color w:val="auto"/>
        </w:rPr>
        <w:t>68</w:t>
      </w:r>
    </w:p>
    <w:p>
      <w:pPr>
        <w:ind w:left="640"/>
        <w:spacing w:after="0"/>
        <w:tabs>
          <w:tab w:leader="none" w:pos="1260" w:val="left"/>
          <w:tab w:leader="dot" w:pos="8020" w:val="left"/>
        </w:tabs>
        <w:rPr>
          <w:sz w:val="20"/>
          <w:szCs w:val="20"/>
          <w:color w:val="auto"/>
        </w:rPr>
      </w:pPr>
      <w:r>
        <w:rPr>
          <w:rFonts w:ascii="Times New Roman" w:cs="Times New Roman" w:eastAsia="Times New Roman" w:hAnsi="Times New Roman"/>
          <w:sz w:val="21"/>
          <w:szCs w:val="21"/>
          <w:color w:val="auto"/>
        </w:rPr>
        <w:t>5.21.</w:t>
        <w:tab/>
        <w:t>Anti-Corruption Laws; Sanctions</w:t>
      </w:r>
      <w:r>
        <w:rPr>
          <w:sz w:val="20"/>
          <w:szCs w:val="20"/>
          <w:color w:val="auto"/>
        </w:rPr>
        <w:tab/>
      </w:r>
      <w:r>
        <w:rPr>
          <w:rFonts w:ascii="Times New Roman" w:cs="Times New Roman" w:eastAsia="Times New Roman" w:hAnsi="Times New Roman"/>
          <w:sz w:val="21"/>
          <w:szCs w:val="21"/>
          <w:color w:val="auto"/>
        </w:rPr>
        <w:t>68</w:t>
      </w:r>
    </w:p>
    <w:p>
      <w:pPr>
        <w:ind w:left="640"/>
        <w:spacing w:after="0"/>
        <w:tabs>
          <w:tab w:leader="none" w:pos="1260" w:val="left"/>
          <w:tab w:leader="dot" w:pos="8020" w:val="left"/>
        </w:tabs>
        <w:rPr>
          <w:sz w:val="20"/>
          <w:szCs w:val="20"/>
          <w:color w:val="auto"/>
        </w:rPr>
      </w:pPr>
      <w:r>
        <w:rPr>
          <w:rFonts w:ascii="Times New Roman" w:cs="Times New Roman" w:eastAsia="Times New Roman" w:hAnsi="Times New Roman"/>
          <w:sz w:val="21"/>
          <w:szCs w:val="21"/>
          <w:color w:val="auto"/>
        </w:rPr>
        <w:t>5.22.</w:t>
        <w:tab/>
        <w:t>Affected Financial Institution</w:t>
      </w:r>
      <w:r>
        <w:rPr>
          <w:sz w:val="20"/>
          <w:szCs w:val="20"/>
          <w:color w:val="auto"/>
        </w:rPr>
        <w:tab/>
      </w:r>
      <w:r>
        <w:rPr>
          <w:rFonts w:ascii="Times New Roman" w:cs="Times New Roman" w:eastAsia="Times New Roman" w:hAnsi="Times New Roman"/>
          <w:sz w:val="20"/>
          <w:szCs w:val="20"/>
          <w:color w:val="auto"/>
        </w:rPr>
        <w:t>68</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5.23.</w:t>
        <w:tab/>
        <w:t>Outbound Investment Rules</w:t>
      </w:r>
      <w:r>
        <w:rPr>
          <w:sz w:val="20"/>
          <w:szCs w:val="20"/>
          <w:color w:val="auto"/>
        </w:rPr>
        <w:tab/>
      </w:r>
      <w:r>
        <w:rPr>
          <w:rFonts w:ascii="Times New Roman" w:cs="Times New Roman" w:eastAsia="Times New Roman" w:hAnsi="Times New Roman"/>
          <w:sz w:val="21"/>
          <w:szCs w:val="21"/>
          <w:color w:val="auto"/>
        </w:rPr>
        <w:t>68</w:t>
      </w:r>
    </w:p>
    <w:p>
      <w:pPr>
        <w:spacing w:after="0" w:line="42" w:lineRule="exact"/>
        <w:rPr>
          <w:sz w:val="20"/>
          <w:szCs w:val="20"/>
          <w:color w:val="auto"/>
        </w:rPr>
      </w:pPr>
    </w:p>
    <w:p>
      <w:pPr>
        <w:spacing w:after="0"/>
        <w:tabs>
          <w:tab w:leader="dot" w:pos="8060" w:val="left"/>
        </w:tabs>
        <w:rPr>
          <w:sz w:val="20"/>
          <w:szCs w:val="20"/>
          <w:color w:val="auto"/>
        </w:rPr>
      </w:pPr>
      <w:r>
        <w:rPr>
          <w:rFonts w:ascii="Times New Roman" w:cs="Times New Roman" w:eastAsia="Times New Roman" w:hAnsi="Times New Roman"/>
          <w:sz w:val="21"/>
          <w:szCs w:val="21"/>
          <w:color w:val="auto"/>
        </w:rPr>
        <w:t>ARTICLE VI COVENANTS</w:t>
      </w:r>
      <w:r>
        <w:rPr>
          <w:sz w:val="20"/>
          <w:szCs w:val="20"/>
          <w:color w:val="auto"/>
        </w:rPr>
        <w:tab/>
      </w:r>
      <w:r>
        <w:rPr>
          <w:rFonts w:ascii="Times New Roman" w:cs="Times New Roman" w:eastAsia="Times New Roman" w:hAnsi="Times New Roman"/>
          <w:sz w:val="21"/>
          <w:szCs w:val="21"/>
          <w:color w:val="auto"/>
        </w:rPr>
        <w:t>68</w:t>
      </w:r>
    </w:p>
    <w:p>
      <w:pPr>
        <w:spacing w:after="0" w:line="66" w:lineRule="exact"/>
        <w:rPr>
          <w:sz w:val="20"/>
          <w:szCs w:val="20"/>
          <w:color w:val="auto"/>
        </w:rPr>
      </w:pP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6.1.</w:t>
        <w:tab/>
        <w:t>Financial Reporting</w:t>
      </w:r>
      <w:r>
        <w:rPr>
          <w:sz w:val="20"/>
          <w:szCs w:val="20"/>
          <w:color w:val="auto"/>
        </w:rPr>
        <w:tab/>
      </w:r>
      <w:r>
        <w:rPr>
          <w:rFonts w:ascii="Times New Roman" w:cs="Times New Roman" w:eastAsia="Times New Roman" w:hAnsi="Times New Roman"/>
          <w:sz w:val="20"/>
          <w:szCs w:val="20"/>
          <w:color w:val="auto"/>
        </w:rPr>
        <w:t>69</w:t>
      </w:r>
    </w:p>
    <w:p>
      <w:pPr>
        <w:spacing w:after="0" w:line="22" w:lineRule="exact"/>
        <w:rPr>
          <w:sz w:val="20"/>
          <w:szCs w:val="20"/>
          <w:color w:val="auto"/>
        </w:rPr>
      </w:pP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6.2.</w:t>
        <w:tab/>
        <w:t>Use of Proceeds</w:t>
      </w:r>
      <w:r>
        <w:rPr>
          <w:sz w:val="20"/>
          <w:szCs w:val="20"/>
          <w:color w:val="auto"/>
        </w:rPr>
        <w:tab/>
      </w:r>
      <w:r>
        <w:rPr>
          <w:rFonts w:ascii="Times New Roman" w:cs="Times New Roman" w:eastAsia="Times New Roman" w:hAnsi="Times New Roman"/>
          <w:sz w:val="21"/>
          <w:szCs w:val="21"/>
          <w:color w:val="auto"/>
        </w:rPr>
        <w:t>70</w:t>
      </w:r>
    </w:p>
    <w:p>
      <w:pPr>
        <w:ind w:left="640"/>
        <w:spacing w:after="0"/>
        <w:tabs>
          <w:tab w:leader="none" w:pos="1160" w:val="left"/>
          <w:tab w:leader="dot" w:pos="7920" w:val="left"/>
        </w:tabs>
        <w:rPr>
          <w:sz w:val="20"/>
          <w:szCs w:val="20"/>
          <w:color w:val="auto"/>
        </w:rPr>
      </w:pPr>
      <w:r>
        <w:rPr>
          <w:rFonts w:ascii="Times New Roman" w:cs="Times New Roman" w:eastAsia="Times New Roman" w:hAnsi="Times New Roman"/>
          <w:sz w:val="21"/>
          <w:szCs w:val="21"/>
          <w:color w:val="auto"/>
        </w:rPr>
        <w:t>6.3.</w:t>
        <w:tab/>
        <w:t>Notice of Material Events</w:t>
      </w:r>
      <w:r>
        <w:rPr>
          <w:sz w:val="20"/>
          <w:szCs w:val="20"/>
          <w:color w:val="auto"/>
        </w:rPr>
        <w:tab/>
      </w:r>
      <w:r>
        <w:rPr>
          <w:rFonts w:ascii="Times New Roman" w:cs="Times New Roman" w:eastAsia="Times New Roman" w:hAnsi="Times New Roman"/>
          <w:sz w:val="21"/>
          <w:szCs w:val="21"/>
          <w:color w:val="auto"/>
        </w:rPr>
        <w:t>70</w:t>
      </w:r>
    </w:p>
    <w:p>
      <w:pPr>
        <w:ind w:left="640"/>
        <w:spacing w:after="0"/>
        <w:tabs>
          <w:tab w:leader="none" w:pos="1120" w:val="left"/>
          <w:tab w:leader="dot" w:pos="7920" w:val="left"/>
        </w:tabs>
        <w:rPr>
          <w:sz w:val="20"/>
          <w:szCs w:val="20"/>
          <w:color w:val="auto"/>
        </w:rPr>
      </w:pPr>
      <w:r>
        <w:rPr>
          <w:rFonts w:ascii="Times New Roman" w:cs="Times New Roman" w:eastAsia="Times New Roman" w:hAnsi="Times New Roman"/>
          <w:sz w:val="21"/>
          <w:szCs w:val="21"/>
          <w:color w:val="auto"/>
        </w:rPr>
        <w:t>6.4</w:t>
        <w:tab/>
        <w:t>Conduct of Business</w:t>
      </w:r>
      <w:r>
        <w:rPr>
          <w:sz w:val="20"/>
          <w:szCs w:val="20"/>
          <w:color w:val="auto"/>
        </w:rPr>
        <w:tab/>
      </w:r>
      <w:r>
        <w:rPr>
          <w:rFonts w:ascii="Times New Roman" w:cs="Times New Roman" w:eastAsia="Times New Roman" w:hAnsi="Times New Roman"/>
          <w:sz w:val="20"/>
          <w:szCs w:val="20"/>
          <w:color w:val="auto"/>
        </w:rPr>
        <w:t>71</w:t>
      </w:r>
    </w:p>
    <w:p>
      <w:pPr>
        <w:ind w:left="640"/>
        <w:spacing w:after="0" w:line="237" w:lineRule="auto"/>
        <w:tabs>
          <w:tab w:leader="none" w:pos="1160" w:val="left"/>
          <w:tab w:leader="dot" w:pos="7920" w:val="left"/>
        </w:tabs>
        <w:rPr>
          <w:sz w:val="20"/>
          <w:szCs w:val="20"/>
          <w:color w:val="auto"/>
        </w:rPr>
      </w:pPr>
      <w:r>
        <w:rPr>
          <w:rFonts w:ascii="Times New Roman" w:cs="Times New Roman" w:eastAsia="Times New Roman" w:hAnsi="Times New Roman"/>
          <w:sz w:val="21"/>
          <w:szCs w:val="21"/>
          <w:color w:val="auto"/>
        </w:rPr>
        <w:t>6.5.</w:t>
        <w:tab/>
        <w:t>Taxes</w:t>
      </w:r>
      <w:r>
        <w:rPr>
          <w:sz w:val="20"/>
          <w:szCs w:val="20"/>
          <w:color w:val="auto"/>
        </w:rPr>
        <w:tab/>
      </w:r>
      <w:r>
        <w:rPr>
          <w:rFonts w:ascii="Times New Roman" w:cs="Times New Roman" w:eastAsia="Times New Roman" w:hAnsi="Times New Roman"/>
          <w:sz w:val="20"/>
          <w:szCs w:val="20"/>
          <w:color w:val="auto"/>
        </w:rPr>
        <w:t>71</w:t>
      </w:r>
    </w:p>
    <w:p>
      <w:pPr>
        <w:ind w:left="640"/>
        <w:spacing w:after="0"/>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6.6.</w:t>
        <w:tab/>
        <w:t>Insurance</w:t>
      </w:r>
      <w:r>
        <w:rPr>
          <w:sz w:val="20"/>
          <w:szCs w:val="20"/>
          <w:color w:val="auto"/>
        </w:rPr>
        <w:tab/>
      </w:r>
      <w:r>
        <w:rPr>
          <w:rFonts w:ascii="Times New Roman" w:cs="Times New Roman" w:eastAsia="Times New Roman" w:hAnsi="Times New Roman"/>
          <w:sz w:val="20"/>
          <w:szCs w:val="20"/>
          <w:color w:val="auto"/>
        </w:rPr>
        <w:t>71</w:t>
      </w:r>
    </w:p>
    <w:p>
      <w:pPr>
        <w:ind w:left="640"/>
        <w:spacing w:after="0"/>
        <w:tabs>
          <w:tab w:leader="none" w:pos="1160" w:val="left"/>
          <w:tab w:leader="dot" w:pos="7940" w:val="left"/>
        </w:tabs>
        <w:rPr>
          <w:sz w:val="20"/>
          <w:szCs w:val="20"/>
          <w:color w:val="auto"/>
        </w:rPr>
      </w:pPr>
      <w:r>
        <w:rPr>
          <w:rFonts w:ascii="Times New Roman" w:cs="Times New Roman" w:eastAsia="Times New Roman" w:hAnsi="Times New Roman"/>
          <w:sz w:val="21"/>
          <w:szCs w:val="21"/>
          <w:color w:val="auto"/>
        </w:rPr>
        <w:t>6.7.</w:t>
        <w:tab/>
        <w:t>Compliance with Laws and Material Contractual Obligations</w:t>
      </w:r>
      <w:r>
        <w:rPr>
          <w:sz w:val="20"/>
          <w:szCs w:val="20"/>
          <w:color w:val="auto"/>
        </w:rPr>
        <w:tab/>
      </w:r>
      <w:r>
        <w:rPr>
          <w:rFonts w:ascii="Times New Roman" w:cs="Times New Roman" w:eastAsia="Times New Roman" w:hAnsi="Times New Roman"/>
          <w:sz w:val="21"/>
          <w:szCs w:val="21"/>
          <w:color w:val="auto"/>
        </w:rPr>
        <w:t>71</w:t>
      </w:r>
    </w:p>
    <w:p>
      <w:pPr>
        <w:ind w:left="640"/>
        <w:spacing w:after="0"/>
        <w:tabs>
          <w:tab w:leader="none" w:pos="1120" w:val="left"/>
          <w:tab w:leader="dot" w:pos="7920" w:val="left"/>
        </w:tabs>
        <w:rPr>
          <w:sz w:val="20"/>
          <w:szCs w:val="20"/>
          <w:color w:val="auto"/>
        </w:rPr>
      </w:pPr>
      <w:r>
        <w:rPr>
          <w:rFonts w:ascii="Times New Roman" w:cs="Times New Roman" w:eastAsia="Times New Roman" w:hAnsi="Times New Roman"/>
          <w:sz w:val="21"/>
          <w:szCs w:val="21"/>
          <w:color w:val="auto"/>
        </w:rPr>
        <w:t>6.8</w:t>
        <w:tab/>
        <w:t>Maintenance of Properties</w:t>
      </w:r>
      <w:r>
        <w:rPr>
          <w:sz w:val="20"/>
          <w:szCs w:val="20"/>
          <w:color w:val="auto"/>
        </w:rPr>
        <w:tab/>
      </w:r>
      <w:r>
        <w:rPr>
          <w:rFonts w:ascii="Times New Roman" w:cs="Times New Roman" w:eastAsia="Times New Roman" w:hAnsi="Times New Roman"/>
          <w:sz w:val="20"/>
          <w:szCs w:val="20"/>
          <w:color w:val="auto"/>
        </w:rPr>
        <w:t>72</w:t>
      </w:r>
    </w:p>
    <w:p>
      <w:pPr>
        <w:ind w:left="640"/>
        <w:spacing w:after="0"/>
        <w:tabs>
          <w:tab w:leader="none" w:pos="1160" w:val="left"/>
          <w:tab w:leader="dot" w:pos="7960" w:val="left"/>
        </w:tabs>
        <w:rPr>
          <w:sz w:val="20"/>
          <w:szCs w:val="20"/>
          <w:color w:val="auto"/>
        </w:rPr>
      </w:pPr>
      <w:r>
        <w:rPr>
          <w:rFonts w:ascii="Times New Roman" w:cs="Times New Roman" w:eastAsia="Times New Roman" w:hAnsi="Times New Roman"/>
          <w:sz w:val="21"/>
          <w:szCs w:val="21"/>
          <w:color w:val="auto"/>
        </w:rPr>
        <w:t>6.9.</w:t>
        <w:tab/>
        <w:t>Books and Records; Inspection</w:t>
      </w:r>
      <w:r>
        <w:rPr>
          <w:sz w:val="20"/>
          <w:szCs w:val="20"/>
          <w:color w:val="auto"/>
        </w:rPr>
        <w:tab/>
      </w:r>
      <w:r>
        <w:rPr>
          <w:rFonts w:ascii="Times New Roman" w:cs="Times New Roman" w:eastAsia="Times New Roman" w:hAnsi="Times New Roman"/>
          <w:sz w:val="20"/>
          <w:szCs w:val="20"/>
          <w:color w:val="auto"/>
        </w:rPr>
        <w:t>72</w:t>
      </w: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6.10.</w:t>
        <w:tab/>
        <w:t>Payment of Obligations</w:t>
      </w:r>
      <w:r>
        <w:rPr>
          <w:sz w:val="20"/>
          <w:szCs w:val="20"/>
          <w:color w:val="auto"/>
        </w:rPr>
        <w:tab/>
      </w:r>
      <w:r>
        <w:rPr>
          <w:rFonts w:ascii="Times New Roman" w:cs="Times New Roman" w:eastAsia="Times New Roman" w:hAnsi="Times New Roman"/>
          <w:sz w:val="21"/>
          <w:szCs w:val="21"/>
          <w:color w:val="auto"/>
        </w:rPr>
        <w:t>72</w:t>
      </w:r>
    </w:p>
    <w:p>
      <w:pPr>
        <w:ind w:left="640"/>
        <w:spacing w:after="0"/>
        <w:tabs>
          <w:tab w:leader="none" w:pos="1260" w:val="left"/>
          <w:tab w:leader="dot" w:pos="8060" w:val="left"/>
        </w:tabs>
        <w:rPr>
          <w:sz w:val="20"/>
          <w:szCs w:val="20"/>
          <w:color w:val="auto"/>
        </w:rPr>
      </w:pPr>
      <w:r>
        <w:rPr>
          <w:rFonts w:ascii="Times New Roman" w:cs="Times New Roman" w:eastAsia="Times New Roman" w:hAnsi="Times New Roman"/>
          <w:sz w:val="21"/>
          <w:szCs w:val="21"/>
          <w:color w:val="auto"/>
        </w:rPr>
        <w:t>6.11.</w:t>
        <w:tab/>
        <w:t>Indebtedness</w:t>
      </w:r>
      <w:r>
        <w:rPr>
          <w:sz w:val="20"/>
          <w:szCs w:val="20"/>
          <w:color w:val="auto"/>
        </w:rPr>
        <w:tab/>
      </w:r>
      <w:r>
        <w:rPr>
          <w:rFonts w:ascii="Times New Roman" w:cs="Times New Roman" w:eastAsia="Times New Roman" w:hAnsi="Times New Roman"/>
          <w:sz w:val="20"/>
          <w:szCs w:val="20"/>
          <w:color w:val="auto"/>
        </w:rPr>
        <w:t>72</w:t>
      </w:r>
    </w:p>
    <w:p>
      <w:pPr>
        <w:ind w:left="640"/>
        <w:spacing w:after="0"/>
        <w:tabs>
          <w:tab w:leader="none" w:pos="1280" w:val="left"/>
          <w:tab w:leader="dot" w:pos="8040" w:val="left"/>
        </w:tabs>
        <w:rPr>
          <w:sz w:val="20"/>
          <w:szCs w:val="20"/>
          <w:color w:val="auto"/>
        </w:rPr>
      </w:pPr>
      <w:r>
        <w:rPr>
          <w:rFonts w:ascii="Times New Roman" w:cs="Times New Roman" w:eastAsia="Times New Roman" w:hAnsi="Times New Roman"/>
          <w:sz w:val="21"/>
          <w:szCs w:val="21"/>
          <w:color w:val="auto"/>
        </w:rPr>
        <w:t>6.12.</w:t>
        <w:tab/>
        <w:t>Merger</w:t>
      </w:r>
      <w:r>
        <w:rPr>
          <w:sz w:val="20"/>
          <w:szCs w:val="20"/>
          <w:color w:val="auto"/>
        </w:rPr>
        <w:tab/>
      </w:r>
      <w:r>
        <w:rPr>
          <w:rFonts w:ascii="Times New Roman" w:cs="Times New Roman" w:eastAsia="Times New Roman" w:hAnsi="Times New Roman"/>
          <w:sz w:val="21"/>
          <w:szCs w:val="21"/>
          <w:color w:val="auto"/>
        </w:rPr>
        <w:t>73</w:t>
      </w:r>
    </w:p>
    <w:p>
      <w:pPr>
        <w:ind w:left="640"/>
        <w:spacing w:after="0"/>
        <w:tabs>
          <w:tab w:leader="none" w:pos="1280" w:val="left"/>
          <w:tab w:leader="dot" w:pos="8040" w:val="left"/>
        </w:tabs>
        <w:rPr>
          <w:sz w:val="20"/>
          <w:szCs w:val="20"/>
          <w:color w:val="auto"/>
        </w:rPr>
      </w:pPr>
      <w:r>
        <w:rPr>
          <w:rFonts w:ascii="Times New Roman" w:cs="Times New Roman" w:eastAsia="Times New Roman" w:hAnsi="Times New Roman"/>
          <w:sz w:val="21"/>
          <w:szCs w:val="21"/>
          <w:color w:val="auto"/>
        </w:rPr>
        <w:t>6.13.</w:t>
        <w:tab/>
        <w:t>Sale of Assets</w:t>
      </w:r>
      <w:r>
        <w:rPr>
          <w:sz w:val="20"/>
          <w:szCs w:val="20"/>
          <w:color w:val="auto"/>
        </w:rPr>
        <w:tab/>
      </w:r>
      <w:r>
        <w:rPr>
          <w:rFonts w:ascii="Times New Roman" w:cs="Times New Roman" w:eastAsia="Times New Roman" w:hAnsi="Times New Roman"/>
          <w:sz w:val="21"/>
          <w:szCs w:val="21"/>
          <w:color w:val="auto"/>
        </w:rPr>
        <w:t>73</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140"/>
          </w:cols>
          <w:pgMar w:left="320" w:top="121" w:right="439" w:bottom="1440" w:gutter="0" w:footer="0" w:header="0"/>
          <w:type w:val="continuous"/>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6.14.</w:t>
            </w:r>
          </w:p>
        </w:tc>
        <w:tc>
          <w:tcPr>
            <w:tcW w:w="68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Investments...........................................................................................................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r>
      <w:tr>
        <w:trPr>
          <w:trHeight w:val="241"/>
        </w:trPr>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6.15.</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Acquisitions..........................................................................................................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41"/>
        </w:trPr>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6.16.</w:t>
            </w:r>
          </w:p>
        </w:tc>
        <w:tc>
          <w:tcPr>
            <w:tcW w:w="68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Liens.....................................................................................................................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41"/>
        </w:trPr>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6.17.</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Affiliates...............................................................................................................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w:t>
            </w:r>
          </w:p>
        </w:tc>
      </w:tr>
      <w:tr>
        <w:trPr>
          <w:trHeight w:val="241"/>
        </w:trPr>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6.18.</w:t>
            </w:r>
          </w:p>
        </w:tc>
        <w:tc>
          <w:tcPr>
            <w:tcW w:w="68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Restricted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w:t>
            </w:r>
          </w:p>
        </w:tc>
      </w:tr>
      <w:tr>
        <w:trPr>
          <w:trHeight w:val="227"/>
        </w:trPr>
        <w:tc>
          <w:tcPr>
            <w:tcW w:w="54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w w:val="99"/>
              </w:rPr>
              <w:t>6.19.</w:t>
            </w:r>
          </w:p>
        </w:tc>
        <w:tc>
          <w:tcPr>
            <w:tcW w:w="6860" w:type="dxa"/>
            <w:vAlign w:val="bottom"/>
          </w:tcPr>
          <w:p>
            <w:pPr>
              <w:ind w:left="120"/>
              <w:spacing w:after="0" w:line="227" w:lineRule="exact"/>
              <w:rPr>
                <w:sz w:val="20"/>
                <w:szCs w:val="20"/>
                <w:color w:val="auto"/>
              </w:rPr>
            </w:pPr>
            <w:r>
              <w:rPr>
                <w:rFonts w:ascii="Times New Roman" w:cs="Times New Roman" w:eastAsia="Times New Roman" w:hAnsi="Times New Roman"/>
                <w:sz w:val="21"/>
                <w:szCs w:val="21"/>
                <w:color w:val="auto"/>
              </w:rPr>
              <w:t>Restrictive Agreements........................................................................................</w:t>
            </w:r>
          </w:p>
        </w:tc>
        <w:tc>
          <w:tcPr>
            <w:tcW w:w="28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77</w:t>
            </w:r>
          </w:p>
        </w:tc>
      </w:tr>
      <w:tr>
        <w:trPr>
          <w:trHeight w:val="241"/>
        </w:trPr>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6.20.</w:t>
            </w:r>
          </w:p>
        </w:tc>
        <w:tc>
          <w:tcPr>
            <w:tcW w:w="68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Financial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r>
      <w:tr>
        <w:trPr>
          <w:trHeight w:val="241"/>
        </w:trPr>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6.21.</w:t>
            </w:r>
          </w:p>
        </w:tc>
        <w:tc>
          <w:tcPr>
            <w:tcW w:w="68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Further Assurances...............................................................................................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r>
      <w:tr>
        <w:trPr>
          <w:trHeight w:val="241"/>
        </w:trPr>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6.22.</w:t>
            </w:r>
          </w:p>
        </w:tc>
        <w:tc>
          <w:tcPr>
            <w:tcW w:w="68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Anti-Money Laundering Compliance..................................................................</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78</w:t>
            </w:r>
          </w:p>
        </w:tc>
      </w:tr>
      <w:tr>
        <w:trPr>
          <w:trHeight w:val="279"/>
        </w:trPr>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6.23.</w:t>
            </w:r>
          </w:p>
        </w:tc>
        <w:tc>
          <w:tcPr>
            <w:tcW w:w="68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Outbound Investment Rules.................................................................................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79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ARTICLE VII DEFAULTS.........................................................................................................</w:t>
            </w:r>
          </w:p>
        </w:tc>
        <w:tc>
          <w:tcPr>
            <w:tcW w:w="4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78</w:t>
            </w:r>
          </w:p>
        </w:tc>
      </w:tr>
      <w:tr>
        <w:trPr>
          <w:trHeight w:val="374"/>
        </w:trPr>
        <w:tc>
          <w:tcPr>
            <w:tcW w:w="79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ARTICLE VIII ACCELERATION, WAIVERS, AMENDMENTS AND REMEDIES............</w:t>
            </w:r>
          </w:p>
        </w:tc>
        <w:tc>
          <w:tcPr>
            <w:tcW w:w="4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81</w:t>
            </w:r>
          </w:p>
        </w:tc>
      </w:tr>
      <w:tr>
        <w:trPr>
          <w:trHeight w:val="270"/>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8.1.</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Acceleration; Remedies.......................................................................................</w:t>
            </w:r>
          </w:p>
        </w:tc>
        <w:tc>
          <w:tcPr>
            <w:tcW w:w="400" w:type="dxa"/>
            <w:vAlign w:val="bottom"/>
          </w:tcPr>
          <w:p>
            <w:pPr>
              <w:spacing w:after="0"/>
              <w:rPr>
                <w:sz w:val="20"/>
                <w:szCs w:val="20"/>
                <w:color w:val="auto"/>
              </w:rPr>
            </w:pPr>
            <w:r>
              <w:rPr>
                <w:rFonts w:ascii="Times New Roman" w:cs="Times New Roman" w:eastAsia="Times New Roman" w:hAnsi="Times New Roman"/>
                <w:sz w:val="21"/>
                <w:szCs w:val="21"/>
                <w:color w:val="auto"/>
              </w:rPr>
              <w:t>81</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8.2.</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Application of Funds............................................................................................</w:t>
            </w:r>
          </w:p>
        </w:tc>
        <w:tc>
          <w:tcPr>
            <w:tcW w:w="4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82</w:t>
            </w:r>
          </w:p>
        </w:tc>
      </w:tr>
      <w:tr>
        <w:trPr>
          <w:trHeight w:val="227"/>
        </w:trPr>
        <w:tc>
          <w:tcPr>
            <w:tcW w:w="1120" w:type="dxa"/>
            <w:vAlign w:val="bottom"/>
          </w:tcPr>
          <w:p>
            <w:pPr>
              <w:ind w:left="640"/>
              <w:spacing w:after="0" w:line="227" w:lineRule="exact"/>
              <w:rPr>
                <w:sz w:val="20"/>
                <w:szCs w:val="20"/>
                <w:color w:val="auto"/>
              </w:rPr>
            </w:pPr>
            <w:r>
              <w:rPr>
                <w:rFonts w:ascii="Times New Roman" w:cs="Times New Roman" w:eastAsia="Times New Roman" w:hAnsi="Times New Roman"/>
                <w:sz w:val="21"/>
                <w:szCs w:val="21"/>
                <w:color w:val="auto"/>
              </w:rPr>
              <w:t>8.3.</w:t>
            </w:r>
          </w:p>
        </w:tc>
        <w:tc>
          <w:tcPr>
            <w:tcW w:w="68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Amendments.........................................................................................................</w:t>
            </w:r>
          </w:p>
        </w:tc>
        <w:tc>
          <w:tcPr>
            <w:tcW w:w="400" w:type="dxa"/>
            <w:vAlign w:val="bottom"/>
          </w:tcPr>
          <w:p>
            <w:pPr>
              <w:ind w:left="60"/>
              <w:spacing w:after="0" w:line="227" w:lineRule="exact"/>
              <w:rPr>
                <w:sz w:val="20"/>
                <w:szCs w:val="20"/>
                <w:color w:val="auto"/>
              </w:rPr>
            </w:pPr>
            <w:r>
              <w:rPr>
                <w:rFonts w:ascii="Times New Roman" w:cs="Times New Roman" w:eastAsia="Times New Roman" w:hAnsi="Times New Roman"/>
                <w:sz w:val="21"/>
                <w:szCs w:val="21"/>
                <w:color w:val="auto"/>
              </w:rPr>
              <w:t>83</w:t>
            </w:r>
          </w:p>
        </w:tc>
      </w:tr>
      <w:tr>
        <w:trPr>
          <w:trHeight w:val="279"/>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8.4.</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Preservation of Rights..........................................................................................</w:t>
            </w:r>
          </w:p>
        </w:tc>
        <w:tc>
          <w:tcPr>
            <w:tcW w:w="4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84</w:t>
            </w:r>
          </w:p>
        </w:tc>
      </w:tr>
      <w:tr>
        <w:trPr>
          <w:trHeight w:val="308"/>
        </w:trPr>
        <w:tc>
          <w:tcPr>
            <w:tcW w:w="79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ARTICLE IX GENERAL PROVISIONS....................................................................................</w:t>
            </w:r>
          </w:p>
        </w:tc>
        <w:tc>
          <w:tcPr>
            <w:tcW w:w="4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84</w:t>
            </w:r>
          </w:p>
        </w:tc>
      </w:tr>
      <w:tr>
        <w:trPr>
          <w:trHeight w:val="270"/>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9.1.</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Survival of Representations.................................................................................</w:t>
            </w:r>
          </w:p>
        </w:tc>
        <w:tc>
          <w:tcPr>
            <w:tcW w:w="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84</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9.2.</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Governmental Regulation....................................................................................</w:t>
            </w:r>
          </w:p>
        </w:tc>
        <w:tc>
          <w:tcPr>
            <w:tcW w:w="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85</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9.3.</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Headings...............................................................................................................</w:t>
            </w:r>
          </w:p>
        </w:tc>
        <w:tc>
          <w:tcPr>
            <w:tcW w:w="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85</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9.4.</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Entire Agreement.................................................................................................</w:t>
            </w:r>
          </w:p>
        </w:tc>
        <w:tc>
          <w:tcPr>
            <w:tcW w:w="4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85</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9.5.</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Several Obligations; Benefits of this Agreement.................................................</w:t>
            </w:r>
          </w:p>
        </w:tc>
        <w:tc>
          <w:tcPr>
            <w:tcW w:w="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85</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9.6.</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Expenses; Indemnification...................................................................................</w:t>
            </w:r>
          </w:p>
        </w:tc>
        <w:tc>
          <w:tcPr>
            <w:tcW w:w="4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85</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9.7.</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Numbers of Documents........................................................................................</w:t>
            </w:r>
          </w:p>
        </w:tc>
        <w:tc>
          <w:tcPr>
            <w:tcW w:w="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86</w:t>
            </w:r>
          </w:p>
        </w:tc>
      </w:tr>
      <w:tr>
        <w:trPr>
          <w:trHeight w:val="227"/>
        </w:trPr>
        <w:tc>
          <w:tcPr>
            <w:tcW w:w="1120" w:type="dxa"/>
            <w:vAlign w:val="bottom"/>
          </w:tcPr>
          <w:p>
            <w:pPr>
              <w:ind w:left="640"/>
              <w:spacing w:after="0" w:line="227" w:lineRule="exact"/>
              <w:rPr>
                <w:sz w:val="20"/>
                <w:szCs w:val="20"/>
                <w:color w:val="auto"/>
              </w:rPr>
            </w:pPr>
            <w:r>
              <w:rPr>
                <w:rFonts w:ascii="Times New Roman" w:cs="Times New Roman" w:eastAsia="Times New Roman" w:hAnsi="Times New Roman"/>
                <w:sz w:val="21"/>
                <w:szCs w:val="21"/>
                <w:color w:val="auto"/>
              </w:rPr>
              <w:t>9.8.</w:t>
            </w:r>
          </w:p>
        </w:tc>
        <w:tc>
          <w:tcPr>
            <w:tcW w:w="680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Accounting...........................................................................................................</w:t>
            </w:r>
          </w:p>
        </w:tc>
        <w:tc>
          <w:tcPr>
            <w:tcW w:w="400" w:type="dxa"/>
            <w:vAlign w:val="bottom"/>
          </w:tcPr>
          <w:p>
            <w:pPr>
              <w:ind w:left="20"/>
              <w:spacing w:after="0" w:line="227" w:lineRule="exact"/>
              <w:rPr>
                <w:sz w:val="20"/>
                <w:szCs w:val="20"/>
                <w:color w:val="auto"/>
              </w:rPr>
            </w:pPr>
            <w:r>
              <w:rPr>
                <w:rFonts w:ascii="Times New Roman" w:cs="Times New Roman" w:eastAsia="Times New Roman" w:hAnsi="Times New Roman"/>
                <w:sz w:val="21"/>
                <w:szCs w:val="21"/>
                <w:color w:val="auto"/>
              </w:rPr>
              <w:t>86</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9.9.</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Severability of Provisions....................................................................................</w:t>
            </w:r>
          </w:p>
        </w:tc>
        <w:tc>
          <w:tcPr>
            <w:tcW w:w="4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87</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9.10.</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Nonliability of Lenders........................................................................................</w:t>
            </w:r>
          </w:p>
        </w:tc>
        <w:tc>
          <w:tcPr>
            <w:tcW w:w="4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87</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9.11.</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Confidentiality......................................................................................................</w:t>
            </w:r>
          </w:p>
        </w:tc>
        <w:tc>
          <w:tcPr>
            <w:tcW w:w="4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88</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9.12.</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Nonreliance..........................................................................................................</w:t>
            </w:r>
          </w:p>
        </w:tc>
        <w:tc>
          <w:tcPr>
            <w:tcW w:w="4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88</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9.13.</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Disclosure.............................................................................................................</w:t>
            </w:r>
          </w:p>
        </w:tc>
        <w:tc>
          <w:tcPr>
            <w:tcW w:w="400" w:type="dxa"/>
            <w:vAlign w:val="bottom"/>
          </w:tcPr>
          <w:p>
            <w:pPr>
              <w:ind w:left="180"/>
              <w:spacing w:after="0"/>
              <w:rPr>
                <w:sz w:val="20"/>
                <w:szCs w:val="20"/>
                <w:color w:val="auto"/>
              </w:rPr>
            </w:pPr>
            <w:r>
              <w:rPr>
                <w:rFonts w:ascii="Times New Roman" w:cs="Times New Roman" w:eastAsia="Times New Roman" w:hAnsi="Times New Roman"/>
                <w:sz w:val="21"/>
                <w:szCs w:val="21"/>
                <w:color w:val="auto"/>
                <w:w w:val="95"/>
              </w:rPr>
              <w:t>88</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9.14.</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USA PATRIOT ACT NOTIFICATION..............................................................</w:t>
            </w:r>
          </w:p>
        </w:tc>
        <w:tc>
          <w:tcPr>
            <w:tcW w:w="4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88</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9.15.</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Acknowledgement and Consent to Bail-In of Affected Financial Institutions....</w:t>
            </w:r>
          </w:p>
        </w:tc>
        <w:tc>
          <w:tcPr>
            <w:tcW w:w="4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89</w:t>
            </w:r>
          </w:p>
        </w:tc>
      </w:tr>
      <w:tr>
        <w:trPr>
          <w:trHeight w:val="279"/>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9.16.</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Acknowledgment Regarding Any Supported QFCs............................................</w:t>
            </w:r>
          </w:p>
        </w:tc>
        <w:tc>
          <w:tcPr>
            <w:tcW w:w="4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89</w:t>
            </w:r>
          </w:p>
        </w:tc>
      </w:tr>
      <w:tr>
        <w:trPr>
          <w:trHeight w:val="308"/>
        </w:trPr>
        <w:tc>
          <w:tcPr>
            <w:tcW w:w="79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ARTICLE X THE ADMINISTRATIVE AGENT.......................................................................</w:t>
            </w:r>
          </w:p>
        </w:tc>
        <w:tc>
          <w:tcPr>
            <w:tcW w:w="4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90</w:t>
            </w:r>
          </w:p>
        </w:tc>
      </w:tr>
      <w:tr>
        <w:trPr>
          <w:trHeight w:val="256"/>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10.1.</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Appointment; Nature of Relationship..................................................................</w:t>
            </w:r>
          </w:p>
        </w:tc>
        <w:tc>
          <w:tcPr>
            <w:tcW w:w="4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90</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10.2.</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Powers..................................................................................................................</w:t>
            </w:r>
          </w:p>
        </w:tc>
        <w:tc>
          <w:tcPr>
            <w:tcW w:w="4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91</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10.3.</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General Immunity................................................................................................</w:t>
            </w:r>
          </w:p>
        </w:tc>
        <w:tc>
          <w:tcPr>
            <w:tcW w:w="4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91</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10.4.</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No Responsibility for Loans, Recitals, etc...........................................................</w:t>
            </w:r>
          </w:p>
        </w:tc>
        <w:tc>
          <w:tcPr>
            <w:tcW w:w="4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91</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10.5.</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Action on Instructions of Lenders........................................................................</w:t>
            </w:r>
          </w:p>
        </w:tc>
        <w:tc>
          <w:tcPr>
            <w:tcW w:w="4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91</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10.6.</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Employment of Administrative Agents and Counsel...........................................</w:t>
            </w:r>
          </w:p>
        </w:tc>
        <w:tc>
          <w:tcPr>
            <w:tcW w:w="400" w:type="dxa"/>
            <w:vAlign w:val="bottom"/>
          </w:tcPr>
          <w:p>
            <w:pPr>
              <w:ind w:left="180"/>
              <w:spacing w:after="0"/>
              <w:rPr>
                <w:sz w:val="20"/>
                <w:szCs w:val="20"/>
                <w:color w:val="auto"/>
              </w:rPr>
            </w:pPr>
            <w:r>
              <w:rPr>
                <w:rFonts w:ascii="Times New Roman" w:cs="Times New Roman" w:eastAsia="Times New Roman" w:hAnsi="Times New Roman"/>
                <w:sz w:val="21"/>
                <w:szCs w:val="21"/>
                <w:color w:val="auto"/>
                <w:w w:val="95"/>
              </w:rPr>
              <w:t>92</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10.7.</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Reliance on Documents; Counsel........................................................................</w:t>
            </w:r>
          </w:p>
        </w:tc>
        <w:tc>
          <w:tcPr>
            <w:tcW w:w="4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92</w:t>
            </w:r>
          </w:p>
        </w:tc>
      </w:tr>
      <w:tr>
        <w:trPr>
          <w:trHeight w:val="241"/>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10.8.</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Administrative Agent’s Reimbursement and Indemnification............................</w:t>
            </w:r>
          </w:p>
        </w:tc>
        <w:tc>
          <w:tcPr>
            <w:tcW w:w="4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92</w:t>
            </w:r>
          </w:p>
        </w:tc>
      </w:tr>
      <w:tr>
        <w:trPr>
          <w:trHeight w:val="279"/>
        </w:trPr>
        <w:tc>
          <w:tcPr>
            <w:tcW w:w="11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10.9.</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Notice of Event of Default...................................................................................</w:t>
            </w:r>
          </w:p>
        </w:tc>
        <w:tc>
          <w:tcPr>
            <w:tcW w:w="4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93</w:t>
            </w:r>
          </w:p>
        </w:tc>
      </w:tr>
    </w:tbl>
    <w:p>
      <w:pPr>
        <w:spacing w:after="0" w:line="200" w:lineRule="exact"/>
        <w:rPr>
          <w:sz w:val="20"/>
          <w:szCs w:val="20"/>
          <w:color w:val="auto"/>
        </w:rPr>
      </w:pP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140"/>
          </w:cols>
          <w:pgMar w:left="320" w:top="121" w:right="439" w:bottom="1440" w:gutter="0" w:footer="0" w:header="0"/>
          <w:type w:val="continuous"/>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tabs>
          <w:tab w:leader="none" w:pos="1380" w:val="left"/>
          <w:tab w:leader="dot" w:pos="8160" w:val="left"/>
        </w:tabs>
        <w:rPr>
          <w:sz w:val="20"/>
          <w:szCs w:val="20"/>
          <w:color w:val="auto"/>
        </w:rPr>
      </w:pPr>
      <w:r>
        <w:rPr>
          <w:rFonts w:ascii="Times New Roman" w:cs="Times New Roman" w:eastAsia="Times New Roman" w:hAnsi="Times New Roman"/>
          <w:sz w:val="21"/>
          <w:szCs w:val="21"/>
          <w:color w:val="auto"/>
        </w:rPr>
        <w:t>10.10.</w:t>
        <w:tab/>
        <w:t>Rights as a Lender</w:t>
      </w:r>
      <w:r>
        <w:rPr>
          <w:sz w:val="20"/>
          <w:szCs w:val="20"/>
          <w:color w:val="auto"/>
        </w:rPr>
        <w:tab/>
      </w:r>
      <w:r>
        <w:rPr>
          <w:rFonts w:ascii="Times New Roman" w:cs="Times New Roman" w:eastAsia="Times New Roman" w:hAnsi="Times New Roman"/>
          <w:sz w:val="20"/>
          <w:szCs w:val="20"/>
          <w:color w:val="auto"/>
        </w:rPr>
        <w:t>93</w:t>
      </w:r>
    </w:p>
    <w:p>
      <w:pPr>
        <w:spacing w:after="0" w:line="22" w:lineRule="exact"/>
        <w:rPr>
          <w:sz w:val="20"/>
          <w:szCs w:val="20"/>
          <w:color w:val="auto"/>
        </w:rPr>
      </w:pPr>
    </w:p>
    <w:p>
      <w:pPr>
        <w:ind w:left="640"/>
        <w:spacing w:after="0"/>
        <w:tabs>
          <w:tab w:leader="none" w:pos="1380" w:val="left"/>
          <w:tab w:leader="dot" w:pos="8140" w:val="left"/>
        </w:tabs>
        <w:rPr>
          <w:sz w:val="20"/>
          <w:szCs w:val="20"/>
          <w:color w:val="auto"/>
        </w:rPr>
      </w:pPr>
      <w:r>
        <w:rPr>
          <w:rFonts w:ascii="Times New Roman" w:cs="Times New Roman" w:eastAsia="Times New Roman" w:hAnsi="Times New Roman"/>
          <w:sz w:val="21"/>
          <w:szCs w:val="21"/>
          <w:color w:val="auto"/>
        </w:rPr>
        <w:t>10.11.</w:t>
        <w:tab/>
        <w:t>Lender Credit Decision, Legal Representation</w:t>
      </w:r>
      <w:r>
        <w:rPr>
          <w:sz w:val="20"/>
          <w:szCs w:val="20"/>
          <w:color w:val="auto"/>
        </w:rPr>
        <w:tab/>
      </w:r>
      <w:r>
        <w:rPr>
          <w:rFonts w:ascii="Times New Roman" w:cs="Times New Roman" w:eastAsia="Times New Roman" w:hAnsi="Times New Roman"/>
          <w:sz w:val="21"/>
          <w:szCs w:val="21"/>
          <w:color w:val="auto"/>
        </w:rPr>
        <w:t>93</w:t>
      </w:r>
    </w:p>
    <w:p>
      <w:pPr>
        <w:ind w:left="640"/>
        <w:spacing w:after="0"/>
        <w:tabs>
          <w:tab w:leader="none" w:pos="1380" w:val="left"/>
          <w:tab w:leader="dot" w:pos="8160" w:val="left"/>
        </w:tabs>
        <w:rPr>
          <w:sz w:val="20"/>
          <w:szCs w:val="20"/>
          <w:color w:val="auto"/>
        </w:rPr>
      </w:pPr>
      <w:r>
        <w:rPr>
          <w:rFonts w:ascii="Times New Roman" w:cs="Times New Roman" w:eastAsia="Times New Roman" w:hAnsi="Times New Roman"/>
          <w:sz w:val="21"/>
          <w:szCs w:val="21"/>
          <w:color w:val="auto"/>
        </w:rPr>
        <w:t>10.12.</w:t>
        <w:tab/>
        <w:t>Successor Administrative Agent</w:t>
      </w:r>
      <w:r>
        <w:rPr>
          <w:sz w:val="20"/>
          <w:szCs w:val="20"/>
          <w:color w:val="auto"/>
        </w:rPr>
        <w:tab/>
      </w:r>
      <w:r>
        <w:rPr>
          <w:rFonts w:ascii="Times New Roman" w:cs="Times New Roman" w:eastAsia="Times New Roman" w:hAnsi="Times New Roman"/>
          <w:sz w:val="21"/>
          <w:szCs w:val="21"/>
          <w:color w:val="auto"/>
        </w:rPr>
        <w:t>94</w:t>
      </w:r>
    </w:p>
    <w:p>
      <w:pPr>
        <w:ind w:left="640"/>
        <w:spacing w:after="0"/>
        <w:tabs>
          <w:tab w:leader="none" w:pos="1360" w:val="left"/>
          <w:tab w:leader="dot" w:pos="8120" w:val="left"/>
        </w:tabs>
        <w:rPr>
          <w:sz w:val="20"/>
          <w:szCs w:val="20"/>
          <w:color w:val="auto"/>
        </w:rPr>
      </w:pPr>
      <w:r>
        <w:rPr>
          <w:rFonts w:ascii="Times New Roman" w:cs="Times New Roman" w:eastAsia="Times New Roman" w:hAnsi="Times New Roman"/>
          <w:sz w:val="21"/>
          <w:szCs w:val="21"/>
          <w:color w:val="auto"/>
        </w:rPr>
        <w:t>10.13.</w:t>
        <w:tab/>
        <w:t>Administrative Agent and Arranger Fees</w:t>
      </w:r>
      <w:r>
        <w:rPr>
          <w:sz w:val="20"/>
          <w:szCs w:val="20"/>
          <w:color w:val="auto"/>
        </w:rPr>
        <w:tab/>
      </w:r>
      <w:r>
        <w:rPr>
          <w:rFonts w:ascii="Times New Roman" w:cs="Times New Roman" w:eastAsia="Times New Roman" w:hAnsi="Times New Roman"/>
          <w:sz w:val="21"/>
          <w:szCs w:val="21"/>
          <w:color w:val="auto"/>
        </w:rPr>
        <w:t>94</w:t>
      </w:r>
    </w:p>
    <w:p>
      <w:pPr>
        <w:ind w:left="640"/>
        <w:spacing w:after="0"/>
        <w:tabs>
          <w:tab w:leader="none" w:pos="1380" w:val="left"/>
          <w:tab w:leader="dot" w:pos="8160" w:val="left"/>
        </w:tabs>
        <w:rPr>
          <w:sz w:val="20"/>
          <w:szCs w:val="20"/>
          <w:color w:val="auto"/>
        </w:rPr>
      </w:pPr>
      <w:r>
        <w:rPr>
          <w:rFonts w:ascii="Times New Roman" w:cs="Times New Roman" w:eastAsia="Times New Roman" w:hAnsi="Times New Roman"/>
          <w:sz w:val="21"/>
          <w:szCs w:val="21"/>
          <w:color w:val="auto"/>
        </w:rPr>
        <w:t>10.14.</w:t>
        <w:tab/>
        <w:t>Delegation to Affiliates</w:t>
      </w:r>
      <w:r>
        <w:rPr>
          <w:sz w:val="20"/>
          <w:szCs w:val="20"/>
          <w:color w:val="auto"/>
        </w:rPr>
        <w:tab/>
      </w:r>
      <w:r>
        <w:rPr>
          <w:rFonts w:ascii="Times New Roman" w:cs="Times New Roman" w:eastAsia="Times New Roman" w:hAnsi="Times New Roman"/>
          <w:sz w:val="20"/>
          <w:szCs w:val="20"/>
          <w:color w:val="auto"/>
        </w:rPr>
        <w:t>94</w:t>
      </w:r>
    </w:p>
    <w:p>
      <w:pPr>
        <w:ind w:left="640"/>
        <w:spacing w:after="0" w:line="225" w:lineRule="auto"/>
        <w:tabs>
          <w:tab w:leader="none" w:pos="1380" w:val="left"/>
          <w:tab w:leader="dot" w:pos="8180" w:val="left"/>
        </w:tabs>
        <w:rPr>
          <w:sz w:val="20"/>
          <w:szCs w:val="20"/>
          <w:color w:val="auto"/>
        </w:rPr>
      </w:pPr>
      <w:r>
        <w:rPr>
          <w:rFonts w:ascii="Times New Roman" w:cs="Times New Roman" w:eastAsia="Times New Roman" w:hAnsi="Times New Roman"/>
          <w:sz w:val="21"/>
          <w:szCs w:val="21"/>
          <w:color w:val="auto"/>
        </w:rPr>
        <w:t>10.15.</w:t>
        <w:tab/>
        <w:t>Guarantor Releases</w:t>
      </w:r>
      <w:r>
        <w:rPr>
          <w:sz w:val="20"/>
          <w:szCs w:val="20"/>
          <w:color w:val="auto"/>
        </w:rPr>
        <w:tab/>
      </w:r>
      <w:r>
        <w:rPr>
          <w:rFonts w:ascii="Times New Roman" w:cs="Times New Roman" w:eastAsia="Times New Roman" w:hAnsi="Times New Roman"/>
          <w:sz w:val="21"/>
          <w:szCs w:val="21"/>
          <w:color w:val="auto"/>
        </w:rPr>
        <w:t>95</w:t>
      </w:r>
    </w:p>
    <w:p>
      <w:pPr>
        <w:ind w:left="640"/>
        <w:spacing w:after="0"/>
        <w:tabs>
          <w:tab w:leader="none" w:pos="1380" w:val="left"/>
          <w:tab w:leader="dot" w:pos="8180" w:val="left"/>
        </w:tabs>
        <w:rPr>
          <w:sz w:val="20"/>
          <w:szCs w:val="20"/>
          <w:color w:val="auto"/>
        </w:rPr>
      </w:pPr>
      <w:r>
        <w:rPr>
          <w:rFonts w:ascii="Times New Roman" w:cs="Times New Roman" w:eastAsia="Times New Roman" w:hAnsi="Times New Roman"/>
          <w:sz w:val="21"/>
          <w:szCs w:val="21"/>
          <w:color w:val="auto"/>
        </w:rPr>
        <w:t>10.16.</w:t>
        <w:tab/>
        <w:t>Co-Syndication Agents, etc</w:t>
      </w:r>
      <w:r>
        <w:rPr>
          <w:sz w:val="20"/>
          <w:szCs w:val="20"/>
          <w:color w:val="auto"/>
        </w:rPr>
        <w:tab/>
      </w:r>
      <w:r>
        <w:rPr>
          <w:rFonts w:ascii="Times New Roman" w:cs="Times New Roman" w:eastAsia="Times New Roman" w:hAnsi="Times New Roman"/>
          <w:sz w:val="21"/>
          <w:szCs w:val="21"/>
          <w:color w:val="auto"/>
        </w:rPr>
        <w:t>95</w:t>
      </w:r>
    </w:p>
    <w:p>
      <w:pPr>
        <w:ind w:left="640"/>
        <w:spacing w:after="0"/>
        <w:tabs>
          <w:tab w:leader="none" w:pos="1380" w:val="left"/>
          <w:tab w:leader="dot" w:pos="8140" w:val="left"/>
        </w:tabs>
        <w:rPr>
          <w:sz w:val="20"/>
          <w:szCs w:val="20"/>
          <w:color w:val="auto"/>
        </w:rPr>
      </w:pPr>
      <w:r>
        <w:rPr>
          <w:rFonts w:ascii="Times New Roman" w:cs="Times New Roman" w:eastAsia="Times New Roman" w:hAnsi="Times New Roman"/>
          <w:sz w:val="21"/>
          <w:szCs w:val="21"/>
          <w:color w:val="auto"/>
        </w:rPr>
        <w:t>10.17.</w:t>
        <w:tab/>
        <w:t>No Advisory or Fiduciary Responsibility</w:t>
      </w:r>
      <w:r>
        <w:rPr>
          <w:sz w:val="20"/>
          <w:szCs w:val="20"/>
          <w:color w:val="auto"/>
        </w:rPr>
        <w:tab/>
      </w:r>
      <w:r>
        <w:rPr>
          <w:rFonts w:ascii="Times New Roman" w:cs="Times New Roman" w:eastAsia="Times New Roman" w:hAnsi="Times New Roman"/>
          <w:sz w:val="20"/>
          <w:szCs w:val="20"/>
          <w:color w:val="auto"/>
        </w:rPr>
        <w:t>95</w:t>
      </w:r>
    </w:p>
    <w:p>
      <w:pPr>
        <w:ind w:left="640"/>
        <w:spacing w:after="0"/>
        <w:tabs>
          <w:tab w:leader="none" w:pos="1380" w:val="left"/>
          <w:tab w:leader="dot" w:pos="8140" w:val="left"/>
        </w:tabs>
        <w:rPr>
          <w:sz w:val="20"/>
          <w:szCs w:val="20"/>
          <w:color w:val="auto"/>
        </w:rPr>
      </w:pPr>
      <w:r>
        <w:rPr>
          <w:rFonts w:ascii="Times New Roman" w:cs="Times New Roman" w:eastAsia="Times New Roman" w:hAnsi="Times New Roman"/>
          <w:sz w:val="21"/>
          <w:szCs w:val="21"/>
          <w:color w:val="auto"/>
        </w:rPr>
        <w:t>10.18.</w:t>
        <w:tab/>
        <w:t>Certain ERISA Matters</w:t>
      </w:r>
      <w:r>
        <w:rPr>
          <w:sz w:val="20"/>
          <w:szCs w:val="20"/>
          <w:color w:val="auto"/>
        </w:rPr>
        <w:tab/>
      </w:r>
      <w:r>
        <w:rPr>
          <w:rFonts w:ascii="Times New Roman" w:cs="Times New Roman" w:eastAsia="Times New Roman" w:hAnsi="Times New Roman"/>
          <w:sz w:val="21"/>
          <w:szCs w:val="21"/>
          <w:color w:val="auto"/>
        </w:rPr>
        <w:t>96</w:t>
      </w:r>
    </w:p>
    <w:p>
      <w:pPr>
        <w:ind w:left="640"/>
        <w:spacing w:after="0"/>
        <w:tabs>
          <w:tab w:leader="none" w:pos="1380" w:val="left"/>
          <w:tab w:leader="dot" w:pos="8180" w:val="left"/>
        </w:tabs>
        <w:rPr>
          <w:sz w:val="20"/>
          <w:szCs w:val="20"/>
          <w:color w:val="auto"/>
        </w:rPr>
      </w:pPr>
      <w:r>
        <w:rPr>
          <w:rFonts w:ascii="Times New Roman" w:cs="Times New Roman" w:eastAsia="Times New Roman" w:hAnsi="Times New Roman"/>
          <w:sz w:val="21"/>
          <w:szCs w:val="21"/>
          <w:color w:val="auto"/>
        </w:rPr>
        <w:t>10.19.</w:t>
        <w:tab/>
        <w:t>Erroneous Payments</w:t>
      </w:r>
      <w:r>
        <w:rPr>
          <w:sz w:val="20"/>
          <w:szCs w:val="20"/>
          <w:color w:val="auto"/>
        </w:rPr>
        <w:tab/>
      </w:r>
      <w:r>
        <w:rPr>
          <w:rFonts w:ascii="Times New Roman" w:cs="Times New Roman" w:eastAsia="Times New Roman" w:hAnsi="Times New Roman"/>
          <w:sz w:val="20"/>
          <w:szCs w:val="20"/>
          <w:color w:val="auto"/>
        </w:rPr>
        <w:t>97</w:t>
      </w:r>
    </w:p>
    <w:p>
      <w:pPr>
        <w:spacing w:after="0" w:line="42"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ARTICLE XI SETOFF; RATABLE PAYMENTS</w:t>
      </w:r>
      <w:r>
        <w:rPr>
          <w:sz w:val="20"/>
          <w:szCs w:val="20"/>
          <w:color w:val="auto"/>
        </w:rPr>
        <w:tab/>
      </w:r>
      <w:r>
        <w:rPr>
          <w:rFonts w:ascii="Times New Roman" w:cs="Times New Roman" w:eastAsia="Times New Roman" w:hAnsi="Times New Roman"/>
          <w:sz w:val="20"/>
          <w:szCs w:val="20"/>
          <w:color w:val="auto"/>
        </w:rPr>
        <w:t>98</w:t>
      </w:r>
    </w:p>
    <w:p>
      <w:pPr>
        <w:spacing w:after="0" w:line="66" w:lineRule="exact"/>
        <w:rPr>
          <w:sz w:val="20"/>
          <w:szCs w:val="20"/>
          <w:color w:val="auto"/>
        </w:rPr>
      </w:pPr>
    </w:p>
    <w:p>
      <w:pPr>
        <w:ind w:left="640"/>
        <w:spacing w:after="0"/>
        <w:tabs>
          <w:tab w:leader="none" w:pos="1260" w:val="left"/>
          <w:tab w:leader="dot" w:pos="8040" w:val="left"/>
        </w:tabs>
        <w:rPr>
          <w:sz w:val="20"/>
          <w:szCs w:val="20"/>
          <w:color w:val="auto"/>
        </w:rPr>
      </w:pPr>
      <w:r>
        <w:rPr>
          <w:rFonts w:ascii="Times New Roman" w:cs="Times New Roman" w:eastAsia="Times New Roman" w:hAnsi="Times New Roman"/>
          <w:sz w:val="21"/>
          <w:szCs w:val="21"/>
          <w:color w:val="auto"/>
        </w:rPr>
        <w:t>11.1.</w:t>
        <w:tab/>
        <w:t>Setoff</w:t>
      </w:r>
      <w:r>
        <w:rPr>
          <w:sz w:val="20"/>
          <w:szCs w:val="20"/>
          <w:color w:val="auto"/>
        </w:rPr>
        <w:tab/>
      </w:r>
      <w:r>
        <w:rPr>
          <w:rFonts w:ascii="Times New Roman" w:cs="Times New Roman" w:eastAsia="Times New Roman" w:hAnsi="Times New Roman"/>
          <w:sz w:val="21"/>
          <w:szCs w:val="21"/>
          <w:color w:val="auto"/>
        </w:rPr>
        <w:t>98</w:t>
      </w:r>
    </w:p>
    <w:p>
      <w:pPr>
        <w:spacing w:after="0" w:line="23" w:lineRule="exact"/>
        <w:rPr>
          <w:sz w:val="20"/>
          <w:szCs w:val="20"/>
          <w:color w:val="auto"/>
        </w:rPr>
      </w:pPr>
    </w:p>
    <w:p>
      <w:pPr>
        <w:ind w:left="640"/>
        <w:spacing w:after="0"/>
        <w:tabs>
          <w:tab w:leader="none" w:pos="1260" w:val="left"/>
          <w:tab w:leader="dot" w:pos="8040" w:val="left"/>
        </w:tabs>
        <w:rPr>
          <w:sz w:val="20"/>
          <w:szCs w:val="20"/>
          <w:color w:val="auto"/>
        </w:rPr>
      </w:pPr>
      <w:r>
        <w:rPr>
          <w:rFonts w:ascii="Times New Roman" w:cs="Times New Roman" w:eastAsia="Times New Roman" w:hAnsi="Times New Roman"/>
          <w:sz w:val="21"/>
          <w:szCs w:val="21"/>
          <w:color w:val="auto"/>
        </w:rPr>
        <w:t>11.2.</w:t>
        <w:tab/>
        <w:t>Ratable Payments</w:t>
      </w:r>
      <w:r>
        <w:rPr>
          <w:sz w:val="20"/>
          <w:szCs w:val="20"/>
          <w:color w:val="auto"/>
        </w:rPr>
        <w:tab/>
      </w:r>
      <w:r>
        <w:rPr>
          <w:rFonts w:ascii="Times New Roman" w:cs="Times New Roman" w:eastAsia="Times New Roman" w:hAnsi="Times New Roman"/>
          <w:sz w:val="21"/>
          <w:szCs w:val="21"/>
          <w:color w:val="auto"/>
        </w:rPr>
        <w:t>99</w:t>
      </w:r>
    </w:p>
    <w:p>
      <w:pPr>
        <w:spacing w:after="0" w:line="42"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ARTICLE XII BENEFIT OF AGREEMENT; ASSIGNMENTS; PARTICIPATIONS</w:t>
      </w:r>
      <w:r>
        <w:rPr>
          <w:sz w:val="20"/>
          <w:szCs w:val="20"/>
          <w:color w:val="auto"/>
        </w:rPr>
        <w:tab/>
      </w:r>
      <w:r>
        <w:rPr>
          <w:rFonts w:ascii="Times New Roman" w:cs="Times New Roman" w:eastAsia="Times New Roman" w:hAnsi="Times New Roman"/>
          <w:sz w:val="21"/>
          <w:szCs w:val="21"/>
          <w:color w:val="auto"/>
        </w:rPr>
        <w:t>99</w:t>
      </w:r>
    </w:p>
    <w:p>
      <w:pPr>
        <w:spacing w:after="0" w:line="66" w:lineRule="exact"/>
        <w:rPr>
          <w:sz w:val="20"/>
          <w:szCs w:val="20"/>
          <w:color w:val="auto"/>
        </w:rPr>
      </w:pP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12.1.</w:t>
        <w:tab/>
        <w:t>Successors and Assigns</w:t>
      </w:r>
      <w:r>
        <w:rPr>
          <w:sz w:val="20"/>
          <w:szCs w:val="20"/>
          <w:color w:val="auto"/>
        </w:rPr>
        <w:tab/>
      </w:r>
      <w:r>
        <w:rPr>
          <w:rFonts w:ascii="Times New Roman" w:cs="Times New Roman" w:eastAsia="Times New Roman" w:hAnsi="Times New Roman"/>
          <w:sz w:val="21"/>
          <w:szCs w:val="21"/>
          <w:color w:val="auto"/>
        </w:rPr>
        <w:t>99</w:t>
      </w:r>
    </w:p>
    <w:p>
      <w:pPr>
        <w:spacing w:after="0" w:line="9" w:lineRule="exact"/>
        <w:rPr>
          <w:sz w:val="20"/>
          <w:szCs w:val="20"/>
          <w:color w:val="auto"/>
        </w:rPr>
      </w:pPr>
    </w:p>
    <w:p>
      <w:pPr>
        <w:ind w:left="640"/>
        <w:spacing w:after="0"/>
        <w:tabs>
          <w:tab w:leader="none" w:pos="1280" w:val="left"/>
          <w:tab w:leader="dot" w:pos="8060" w:val="left"/>
        </w:tabs>
        <w:rPr>
          <w:sz w:val="20"/>
          <w:szCs w:val="20"/>
          <w:color w:val="auto"/>
        </w:rPr>
      </w:pPr>
      <w:r>
        <w:rPr>
          <w:rFonts w:ascii="Times New Roman" w:cs="Times New Roman" w:eastAsia="Times New Roman" w:hAnsi="Times New Roman"/>
          <w:sz w:val="21"/>
          <w:szCs w:val="21"/>
          <w:color w:val="auto"/>
        </w:rPr>
        <w:t>12.2.</w:t>
        <w:tab/>
        <w:t>Participations</w:t>
      </w:r>
      <w:r>
        <w:rPr>
          <w:sz w:val="20"/>
          <w:szCs w:val="20"/>
          <w:color w:val="auto"/>
        </w:rPr>
        <w:tab/>
      </w:r>
      <w:r>
        <w:rPr>
          <w:rFonts w:ascii="Times New Roman" w:cs="Times New Roman" w:eastAsia="Times New Roman" w:hAnsi="Times New Roman"/>
          <w:sz w:val="21"/>
          <w:szCs w:val="21"/>
          <w:color w:val="auto"/>
        </w:rPr>
        <w:t>99</w:t>
      </w:r>
    </w:p>
    <w:p>
      <w:pPr>
        <w:ind w:left="640"/>
        <w:spacing w:after="0"/>
        <w:tabs>
          <w:tab w:leader="none" w:pos="1260" w:val="left"/>
          <w:tab w:leader="dot" w:pos="7920" w:val="left"/>
        </w:tabs>
        <w:rPr>
          <w:sz w:val="20"/>
          <w:szCs w:val="20"/>
          <w:color w:val="auto"/>
        </w:rPr>
      </w:pPr>
      <w:r>
        <w:rPr>
          <w:rFonts w:ascii="Times New Roman" w:cs="Times New Roman" w:eastAsia="Times New Roman" w:hAnsi="Times New Roman"/>
          <w:sz w:val="21"/>
          <w:szCs w:val="21"/>
          <w:color w:val="auto"/>
        </w:rPr>
        <w:t>12.3.</w:t>
        <w:tab/>
        <w:t>Assignments</w:t>
      </w:r>
      <w:r>
        <w:rPr>
          <w:sz w:val="20"/>
          <w:szCs w:val="20"/>
          <w:color w:val="auto"/>
        </w:rPr>
        <w:tab/>
      </w:r>
      <w:r>
        <w:rPr>
          <w:rFonts w:ascii="Times New Roman" w:cs="Times New Roman" w:eastAsia="Times New Roman" w:hAnsi="Times New Roman"/>
          <w:sz w:val="21"/>
          <w:szCs w:val="21"/>
          <w:color w:val="auto"/>
        </w:rPr>
        <w:t>101</w:t>
      </w:r>
    </w:p>
    <w:p>
      <w:pPr>
        <w:spacing w:after="0" w:line="42"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ARTICLE XIII NOTICES</w:t>
      </w:r>
      <w:r>
        <w:rPr>
          <w:sz w:val="20"/>
          <w:szCs w:val="20"/>
          <w:color w:val="auto"/>
        </w:rPr>
        <w:tab/>
      </w:r>
      <w:r>
        <w:rPr>
          <w:rFonts w:ascii="Times New Roman" w:cs="Times New Roman" w:eastAsia="Times New Roman" w:hAnsi="Times New Roman"/>
          <w:sz w:val="21"/>
          <w:szCs w:val="21"/>
          <w:color w:val="auto"/>
        </w:rPr>
        <w:t>103</w:t>
      </w:r>
    </w:p>
    <w:p>
      <w:pPr>
        <w:spacing w:after="0" w:line="66" w:lineRule="exact"/>
        <w:rPr>
          <w:sz w:val="20"/>
          <w:szCs w:val="20"/>
          <w:color w:val="auto"/>
        </w:rPr>
      </w:pPr>
    </w:p>
    <w:p>
      <w:pPr>
        <w:ind w:left="640"/>
        <w:spacing w:after="0"/>
        <w:tabs>
          <w:tab w:leader="none" w:pos="1280" w:val="left"/>
          <w:tab w:leader="dot" w:pos="7960" w:val="left"/>
        </w:tabs>
        <w:rPr>
          <w:sz w:val="20"/>
          <w:szCs w:val="20"/>
          <w:color w:val="auto"/>
        </w:rPr>
      </w:pPr>
      <w:r>
        <w:rPr>
          <w:rFonts w:ascii="Times New Roman" w:cs="Times New Roman" w:eastAsia="Times New Roman" w:hAnsi="Times New Roman"/>
          <w:sz w:val="21"/>
          <w:szCs w:val="21"/>
          <w:color w:val="auto"/>
        </w:rPr>
        <w:t>13.1.</w:t>
        <w:tab/>
        <w:t>Notices; Effectiveness; Electronic Communication</w:t>
      </w:r>
      <w:r>
        <w:rPr>
          <w:sz w:val="20"/>
          <w:szCs w:val="20"/>
          <w:color w:val="auto"/>
        </w:rPr>
        <w:tab/>
      </w:r>
      <w:r>
        <w:rPr>
          <w:rFonts w:ascii="Times New Roman" w:cs="Times New Roman" w:eastAsia="Times New Roman" w:hAnsi="Times New Roman"/>
          <w:sz w:val="21"/>
          <w:szCs w:val="21"/>
          <w:color w:val="auto"/>
        </w:rPr>
        <w:t>103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XIV COUNTERPARTS; INTEGRATION; EFFECTIVENESS;</w:t>
      </w:r>
    </w:p>
    <w:p>
      <w:pPr>
        <w:spacing w:after="0" w:line="42" w:lineRule="exact"/>
        <w:rPr>
          <w:sz w:val="20"/>
          <w:szCs w:val="20"/>
          <w:color w:val="auto"/>
        </w:rPr>
      </w:pPr>
    </w:p>
    <w:p>
      <w:pPr>
        <w:ind w:left="640"/>
        <w:spacing w:after="0"/>
        <w:tabs>
          <w:tab w:leader="dot" w:pos="7960" w:val="left"/>
        </w:tabs>
        <w:rPr>
          <w:sz w:val="20"/>
          <w:szCs w:val="20"/>
          <w:color w:val="auto"/>
        </w:rPr>
      </w:pPr>
      <w:r>
        <w:rPr>
          <w:rFonts w:ascii="Times New Roman" w:cs="Times New Roman" w:eastAsia="Times New Roman" w:hAnsi="Times New Roman"/>
          <w:sz w:val="21"/>
          <w:szCs w:val="21"/>
          <w:color w:val="auto"/>
        </w:rPr>
        <w:t>ELECTRONIC EXECUTION; ELECTRONIC RECORDS</w:t>
      </w:r>
      <w:r>
        <w:rPr>
          <w:sz w:val="20"/>
          <w:szCs w:val="20"/>
          <w:color w:val="auto"/>
        </w:rPr>
        <w:tab/>
      </w:r>
      <w:r>
        <w:rPr>
          <w:rFonts w:ascii="Times New Roman" w:cs="Times New Roman" w:eastAsia="Times New Roman" w:hAnsi="Times New Roman"/>
          <w:sz w:val="21"/>
          <w:szCs w:val="21"/>
          <w:color w:val="auto"/>
        </w:rPr>
        <w:t>105</w:t>
      </w:r>
    </w:p>
    <w:p>
      <w:pPr>
        <w:spacing w:after="0" w:line="66" w:lineRule="exact"/>
        <w:rPr>
          <w:sz w:val="20"/>
          <w:szCs w:val="20"/>
          <w:color w:val="auto"/>
        </w:rPr>
      </w:pPr>
    </w:p>
    <w:p>
      <w:pPr>
        <w:ind w:left="640"/>
        <w:spacing w:after="0"/>
        <w:tabs>
          <w:tab w:leader="none" w:pos="1280" w:val="left"/>
          <w:tab w:leader="dot" w:pos="7920" w:val="left"/>
        </w:tabs>
        <w:rPr>
          <w:sz w:val="20"/>
          <w:szCs w:val="20"/>
          <w:color w:val="auto"/>
        </w:rPr>
      </w:pPr>
      <w:r>
        <w:rPr>
          <w:rFonts w:ascii="Times New Roman" w:cs="Times New Roman" w:eastAsia="Times New Roman" w:hAnsi="Times New Roman"/>
          <w:sz w:val="21"/>
          <w:szCs w:val="21"/>
          <w:color w:val="auto"/>
        </w:rPr>
        <w:t>14.1.</w:t>
        <w:tab/>
        <w:t>Counterparts; Effectiveness</w:t>
      </w:r>
      <w:r>
        <w:rPr>
          <w:sz w:val="20"/>
          <w:szCs w:val="20"/>
          <w:color w:val="auto"/>
        </w:rPr>
        <w:tab/>
      </w:r>
      <w:r>
        <w:rPr>
          <w:rFonts w:ascii="Times New Roman" w:cs="Times New Roman" w:eastAsia="Times New Roman" w:hAnsi="Times New Roman"/>
          <w:sz w:val="21"/>
          <w:szCs w:val="21"/>
          <w:color w:val="auto"/>
        </w:rPr>
        <w:t>105</w:t>
      </w:r>
    </w:p>
    <w:p>
      <w:pPr>
        <w:spacing w:after="0" w:line="22" w:lineRule="exact"/>
        <w:rPr>
          <w:sz w:val="20"/>
          <w:szCs w:val="20"/>
          <w:color w:val="auto"/>
        </w:rPr>
      </w:pPr>
    </w:p>
    <w:p>
      <w:pPr>
        <w:ind w:left="640"/>
        <w:spacing w:after="0"/>
        <w:tabs>
          <w:tab w:leader="none" w:pos="1280" w:val="left"/>
          <w:tab w:leader="dot" w:pos="7940" w:val="left"/>
        </w:tabs>
        <w:rPr>
          <w:sz w:val="20"/>
          <w:szCs w:val="20"/>
          <w:color w:val="auto"/>
        </w:rPr>
      </w:pPr>
      <w:r>
        <w:rPr>
          <w:rFonts w:ascii="Times New Roman" w:cs="Times New Roman" w:eastAsia="Times New Roman" w:hAnsi="Times New Roman"/>
          <w:sz w:val="21"/>
          <w:szCs w:val="21"/>
          <w:color w:val="auto"/>
        </w:rPr>
        <w:t>14.2.</w:t>
        <w:tab/>
        <w:t>Electronic Execution of Assignments</w:t>
      </w:r>
      <w:r>
        <w:rPr>
          <w:sz w:val="20"/>
          <w:szCs w:val="20"/>
          <w:color w:val="auto"/>
        </w:rPr>
        <w:tab/>
      </w:r>
      <w:r>
        <w:rPr>
          <w:rFonts w:ascii="Times New Roman" w:cs="Times New Roman" w:eastAsia="Times New Roman" w:hAnsi="Times New Roman"/>
          <w:sz w:val="21"/>
          <w:szCs w:val="21"/>
          <w:color w:val="auto"/>
        </w:rPr>
        <w:t>105</w:t>
      </w:r>
    </w:p>
    <w:p>
      <w:pPr>
        <w:ind w:left="640"/>
        <w:spacing w:after="0" w:line="225" w:lineRule="auto"/>
        <w:tabs>
          <w:tab w:leader="none" w:pos="1280" w:val="left"/>
          <w:tab w:leader="dot" w:pos="7940" w:val="left"/>
        </w:tabs>
        <w:rPr>
          <w:sz w:val="20"/>
          <w:szCs w:val="20"/>
          <w:color w:val="auto"/>
        </w:rPr>
      </w:pPr>
      <w:r>
        <w:rPr>
          <w:rFonts w:ascii="Times New Roman" w:cs="Times New Roman" w:eastAsia="Times New Roman" w:hAnsi="Times New Roman"/>
          <w:sz w:val="21"/>
          <w:szCs w:val="21"/>
          <w:color w:val="auto"/>
        </w:rPr>
        <w:t>14.3.</w:t>
        <w:tab/>
        <w:t>Electronic Records</w:t>
      </w:r>
      <w:r>
        <w:rPr>
          <w:sz w:val="20"/>
          <w:szCs w:val="20"/>
          <w:color w:val="auto"/>
        </w:rPr>
        <w:tab/>
      </w:r>
      <w:r>
        <w:rPr>
          <w:rFonts w:ascii="Times New Roman" w:cs="Times New Roman" w:eastAsia="Times New Roman" w:hAnsi="Times New Roman"/>
          <w:sz w:val="21"/>
          <w:szCs w:val="21"/>
          <w:color w:val="auto"/>
        </w:rPr>
        <w:t>105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XV CHOICE OF LAW; CONSENT TO JURISDICTION; WAIVER OF</w:t>
      </w:r>
    </w:p>
    <w:p>
      <w:pPr>
        <w:spacing w:after="0" w:line="42" w:lineRule="exact"/>
        <w:rPr>
          <w:sz w:val="20"/>
          <w:szCs w:val="20"/>
          <w:color w:val="auto"/>
        </w:rPr>
      </w:pPr>
    </w:p>
    <w:p>
      <w:pPr>
        <w:ind w:left="640"/>
        <w:spacing w:after="0"/>
        <w:tabs>
          <w:tab w:leader="dot" w:pos="7980" w:val="left"/>
        </w:tabs>
        <w:rPr>
          <w:sz w:val="20"/>
          <w:szCs w:val="20"/>
          <w:color w:val="auto"/>
        </w:rPr>
      </w:pPr>
      <w:r>
        <w:rPr>
          <w:rFonts w:ascii="Times New Roman" w:cs="Times New Roman" w:eastAsia="Times New Roman" w:hAnsi="Times New Roman"/>
          <w:sz w:val="21"/>
          <w:szCs w:val="21"/>
          <w:color w:val="auto"/>
        </w:rPr>
        <w:t>JURY TRIAL</w:t>
      </w:r>
      <w:r>
        <w:rPr>
          <w:sz w:val="20"/>
          <w:szCs w:val="20"/>
          <w:color w:val="auto"/>
        </w:rPr>
        <w:tab/>
      </w:r>
      <w:r>
        <w:rPr>
          <w:rFonts w:ascii="Times New Roman" w:cs="Times New Roman" w:eastAsia="Times New Roman" w:hAnsi="Times New Roman"/>
          <w:sz w:val="21"/>
          <w:szCs w:val="21"/>
          <w:color w:val="auto"/>
        </w:rPr>
        <w:t>106</w:t>
      </w:r>
    </w:p>
    <w:p>
      <w:pPr>
        <w:spacing w:after="0" w:line="62" w:lineRule="exact"/>
        <w:rPr>
          <w:sz w:val="20"/>
          <w:szCs w:val="20"/>
          <w:color w:val="auto"/>
        </w:rPr>
      </w:pPr>
    </w:p>
    <w:p>
      <w:pPr>
        <w:ind w:left="640"/>
        <w:spacing w:after="0"/>
        <w:tabs>
          <w:tab w:leader="none" w:pos="1280" w:val="left"/>
          <w:tab w:leader="dot" w:pos="7960" w:val="left"/>
        </w:tabs>
        <w:rPr>
          <w:sz w:val="20"/>
          <w:szCs w:val="20"/>
          <w:color w:val="auto"/>
        </w:rPr>
      </w:pPr>
      <w:r>
        <w:rPr>
          <w:rFonts w:ascii="Times New Roman" w:cs="Times New Roman" w:eastAsia="Times New Roman" w:hAnsi="Times New Roman"/>
          <w:sz w:val="21"/>
          <w:szCs w:val="21"/>
          <w:color w:val="auto"/>
        </w:rPr>
        <w:t>15.1.</w:t>
      </w:r>
      <w:r>
        <w:rPr>
          <w:sz w:val="20"/>
          <w:szCs w:val="20"/>
          <w:color w:val="auto"/>
        </w:rPr>
        <w:tab/>
      </w:r>
      <w:r>
        <w:rPr>
          <w:rFonts w:ascii="Times New Roman" w:cs="Times New Roman" w:eastAsia="Times New Roman" w:hAnsi="Times New Roman"/>
          <w:sz w:val="21"/>
          <w:szCs w:val="21"/>
          <w:b w:val="1"/>
          <w:bCs w:val="1"/>
          <w:color w:val="auto"/>
        </w:rPr>
        <w:t>CHOICE OF LAW</w:t>
      </w:r>
      <w:r>
        <w:rPr>
          <w:sz w:val="20"/>
          <w:szCs w:val="20"/>
          <w:color w:val="auto"/>
        </w:rPr>
        <w:tab/>
      </w:r>
      <w:r>
        <w:rPr>
          <w:rFonts w:ascii="Times New Roman" w:cs="Times New Roman" w:eastAsia="Times New Roman" w:hAnsi="Times New Roman"/>
          <w:sz w:val="21"/>
          <w:szCs w:val="21"/>
          <w:color w:val="auto"/>
        </w:rPr>
        <w:t>106</w:t>
      </w:r>
    </w:p>
    <w:p>
      <w:pPr>
        <w:spacing w:after="0" w:line="26" w:lineRule="exact"/>
        <w:rPr>
          <w:sz w:val="20"/>
          <w:szCs w:val="20"/>
          <w:color w:val="auto"/>
        </w:rPr>
      </w:pPr>
    </w:p>
    <w:p>
      <w:pPr>
        <w:ind w:left="640"/>
        <w:spacing w:after="0"/>
        <w:tabs>
          <w:tab w:leader="none" w:pos="1280" w:val="left"/>
          <w:tab w:leader="dot" w:pos="7960" w:val="left"/>
        </w:tabs>
        <w:rPr>
          <w:sz w:val="20"/>
          <w:szCs w:val="20"/>
          <w:color w:val="auto"/>
        </w:rPr>
      </w:pPr>
      <w:r>
        <w:rPr>
          <w:rFonts w:ascii="Times New Roman" w:cs="Times New Roman" w:eastAsia="Times New Roman" w:hAnsi="Times New Roman"/>
          <w:sz w:val="21"/>
          <w:szCs w:val="21"/>
          <w:color w:val="auto"/>
        </w:rPr>
        <w:t>15.2.</w:t>
      </w:r>
      <w:r>
        <w:rPr>
          <w:sz w:val="20"/>
          <w:szCs w:val="20"/>
          <w:color w:val="auto"/>
        </w:rPr>
        <w:tab/>
      </w:r>
      <w:r>
        <w:rPr>
          <w:rFonts w:ascii="Times New Roman" w:cs="Times New Roman" w:eastAsia="Times New Roman" w:hAnsi="Times New Roman"/>
          <w:sz w:val="21"/>
          <w:szCs w:val="21"/>
          <w:b w:val="1"/>
          <w:bCs w:val="1"/>
          <w:color w:val="auto"/>
        </w:rPr>
        <w:t>CONSENT TO JURISDICTION</w:t>
      </w:r>
      <w:r>
        <w:rPr>
          <w:sz w:val="20"/>
          <w:szCs w:val="20"/>
          <w:color w:val="auto"/>
        </w:rPr>
        <w:tab/>
      </w:r>
      <w:r>
        <w:rPr>
          <w:rFonts w:ascii="Times New Roman" w:cs="Times New Roman" w:eastAsia="Times New Roman" w:hAnsi="Times New Roman"/>
          <w:sz w:val="21"/>
          <w:szCs w:val="21"/>
          <w:color w:val="auto"/>
        </w:rPr>
        <w:t>106</w:t>
      </w:r>
    </w:p>
    <w:p>
      <w:pPr>
        <w:ind w:left="640"/>
        <w:spacing w:after="0"/>
        <w:tabs>
          <w:tab w:leader="none" w:pos="1280" w:val="left"/>
          <w:tab w:leader="dot" w:pos="7920" w:val="left"/>
        </w:tabs>
        <w:rPr>
          <w:sz w:val="20"/>
          <w:szCs w:val="20"/>
          <w:color w:val="auto"/>
        </w:rPr>
      </w:pPr>
      <w:r>
        <w:rPr>
          <w:rFonts w:ascii="Times New Roman" w:cs="Times New Roman" w:eastAsia="Times New Roman" w:hAnsi="Times New Roman"/>
          <w:sz w:val="21"/>
          <w:szCs w:val="21"/>
          <w:color w:val="auto"/>
        </w:rPr>
        <w:t>15.3.</w:t>
      </w:r>
      <w:r>
        <w:rPr>
          <w:sz w:val="20"/>
          <w:szCs w:val="20"/>
          <w:color w:val="auto"/>
        </w:rPr>
        <w:tab/>
      </w:r>
      <w:r>
        <w:rPr>
          <w:rFonts w:ascii="Times New Roman" w:cs="Times New Roman" w:eastAsia="Times New Roman" w:hAnsi="Times New Roman"/>
          <w:sz w:val="21"/>
          <w:szCs w:val="21"/>
          <w:b w:val="1"/>
          <w:bCs w:val="1"/>
          <w:color w:val="auto"/>
        </w:rPr>
        <w:t>WAIVER OF JURY TRIAL</w:t>
      </w:r>
      <w:r>
        <w:rPr>
          <w:sz w:val="20"/>
          <w:szCs w:val="20"/>
          <w:color w:val="auto"/>
        </w:rPr>
        <w:tab/>
      </w:r>
      <w:r>
        <w:rPr>
          <w:rFonts w:ascii="Times New Roman" w:cs="Times New Roman" w:eastAsia="Times New Roman" w:hAnsi="Times New Roman"/>
          <w:sz w:val="21"/>
          <w:szCs w:val="21"/>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140"/>
          </w:cols>
          <w:pgMar w:left="320" w:top="121"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1"/>
          <w:szCs w:val="21"/>
          <w:b w:val="1"/>
          <w:bCs w:val="1"/>
          <w:u w:val="single" w:color="auto"/>
          <w:color w:val="auto"/>
        </w:rPr>
        <w:t>SCHEDULES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1 –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2.19 – Existing Letters of Credit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5.8 – Subsidiaries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5.14 – Properties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6.11 – Indebtedness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6.14 –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 6.16 - Liens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 A – Form of Compliance Certificate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 B – Form of Assignment and Assumption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 C-1 – Form of Borrowing Notice</w:t>
      </w:r>
    </w:p>
    <w:p>
      <w:pPr>
        <w:spacing w:after="0" w:line="227" w:lineRule="exact"/>
        <w:rPr>
          <w:sz w:val="20"/>
          <w:szCs w:val="20"/>
          <w:color w:val="auto"/>
        </w:rPr>
      </w:pPr>
    </w:p>
    <w:p>
      <w:pPr>
        <w:ind w:right="4859"/>
        <w:spacing w:after="0" w:line="469" w:lineRule="auto"/>
        <w:rPr>
          <w:sz w:val="20"/>
          <w:szCs w:val="20"/>
          <w:color w:val="auto"/>
        </w:rPr>
      </w:pPr>
      <w:r>
        <w:rPr>
          <w:rFonts w:ascii="Times New Roman" w:cs="Times New Roman" w:eastAsia="Times New Roman" w:hAnsi="Times New Roman"/>
          <w:sz w:val="21"/>
          <w:szCs w:val="21"/>
          <w:b w:val="1"/>
          <w:bCs w:val="1"/>
          <w:color w:val="auto"/>
        </w:rPr>
        <w:t>EXHIBIT C-2 – Form of Conversion/Continuation Notice EXHIBIT C-3 – Form of Payment Notice EXHIBIT D – Form of Revolving Note</w:t>
      </w:r>
    </w:p>
    <w:p>
      <w:pPr>
        <w:spacing w:after="0" w:line="2" w:lineRule="exact"/>
        <w:rPr>
          <w:sz w:val="20"/>
          <w:szCs w:val="20"/>
          <w:color w:val="auto"/>
        </w:rPr>
      </w:pPr>
    </w:p>
    <w:p>
      <w:pPr>
        <w:ind w:right="5019"/>
        <w:spacing w:after="0" w:line="478" w:lineRule="auto"/>
        <w:rPr>
          <w:sz w:val="20"/>
          <w:szCs w:val="20"/>
          <w:color w:val="auto"/>
        </w:rPr>
      </w:pPr>
      <w:r>
        <w:rPr>
          <w:rFonts w:ascii="Times New Roman" w:cs="Times New Roman" w:eastAsia="Times New Roman" w:hAnsi="Times New Roman"/>
          <w:sz w:val="21"/>
          <w:szCs w:val="21"/>
          <w:b w:val="1"/>
          <w:bCs w:val="1"/>
          <w:color w:val="auto"/>
        </w:rPr>
        <w:t>EXHIBIT E – Form of Increasing Lender Supplement EXHIBIT F – Form of Augmenting Lender Supplement EXHIBIT G – List of Closing Documents EXHIBIT H – Form of Notice of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0139"/>
          </w:cols>
          <w:pgMar w:left="320" w:top="1405"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b w:val="1"/>
          <w:bCs w:val="1"/>
          <w:color w:val="auto"/>
        </w:rPr>
        <w:t>CREDIT AGREEMENT</w:t>
      </w:r>
    </w:p>
    <w:p>
      <w:pPr>
        <w:spacing w:after="0" w:line="231" w:lineRule="exact"/>
        <w:rPr>
          <w:sz w:val="20"/>
          <w:szCs w:val="20"/>
          <w:color w:val="auto"/>
        </w:rPr>
      </w:pPr>
    </w:p>
    <w:p>
      <w:pPr>
        <w:jc w:val="both"/>
        <w:ind w:right="20" w:firstLine="642"/>
        <w:spacing w:after="0" w:line="277" w:lineRule="auto"/>
        <w:rPr>
          <w:sz w:val="20"/>
          <w:szCs w:val="20"/>
          <w:color w:val="auto"/>
        </w:rPr>
      </w:pPr>
      <w:r>
        <w:rPr>
          <w:rFonts w:ascii="Times New Roman" w:cs="Times New Roman" w:eastAsia="Times New Roman" w:hAnsi="Times New Roman"/>
          <w:sz w:val="21"/>
          <w:szCs w:val="21"/>
          <w:color w:val="auto"/>
        </w:rPr>
        <w:t>This Credit Agreement (this “Agreement”), dated as of March 25, 2026, is among Jack Henry &amp; Associates, Inc., the Lenders and U.S. Bank National Association, a national banking association, as LC Issuer, Swing Line Lender and as Administrative Agent.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231"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Agreement:</w:t>
      </w:r>
    </w:p>
    <w:p>
      <w:pPr>
        <w:spacing w:after="0" w:line="160"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“Acquisition” means any transaction, or any series of related transactions, consummated on or after the date of this Agreement, by which the Borrower or any of its Subsidiaries (i) acquires any going-concern business or all or substantially all of the assets of any firm, corporation or limited liability company, or division thereof, whether through purchase of assets, merger or otherwise or (ii)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“Acquisition Holiday” is defined in Section 6.20(b).</w:t>
      </w:r>
    </w:p>
    <w:p>
      <w:pPr>
        <w:spacing w:after="0" w:line="160"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“Adjusted Term SOFR Screen Rate” means, with respect to any Term SOFR Advance, Term SOFR Loan or Swing Line Loan accruing interest at the Term SOFR Swingline Rate, in each case for any Interest Period, an interest rate per annum equal to the greater of (a) zero and (b) the sum of (i) the Term SOFR Screen Rate for such Interest Period, plus (ii) the SOFR Adjustment.</w:t>
      </w:r>
    </w:p>
    <w:p>
      <w:pPr>
        <w:spacing w:after="0" w:line="91"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“Administrative Agent” means U.S. Bank in its capacity as contractual representative of the Lenders pursuant to Article X, and not in its individual capacity as a Lender, and any successor Administrative Agent appointed pursuant to Article X.</w:t>
      </w:r>
    </w:p>
    <w:p>
      <w:pPr>
        <w:spacing w:after="0" w:line="74"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“Advance” means a borrowing hereunder (i) made by some or all of the Lenders on the same Borrowing Date, or (ii) converted or continued by the Lenders on the same date of conversion or continuation, consisting, in either case, of the aggregate amount of the several Loans of the same Type and, in the case of Term SOFR Loans, for the same Interest Period. The term “Advance” shall include Swing Line Loans unless otherwise expressly provided.</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“Affected Financial Institution” means (a) any EEA Financial Institution or (b) any UK Financial Institution.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“Affected Lender” is defined in Section 2.20.</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“Affiliate(s)” of any Person means any other Person directly or indirectly controlling, controlled by or under common control with such Person, including such Person’s Subsidiaries.</w:t>
      </w:r>
    </w:p>
    <w:p>
      <w:pPr>
        <w:sectPr>
          <w:pgSz w:w="11900" w:h="16838" w:orient="portrait"/>
          <w:cols w:equalWidth="0" w:num="1">
            <w:col w:w="11240"/>
          </w:cols>
          <w:pgMar w:left="320" w:top="1405" w:right="339" w:bottom="1440" w:gutter="0" w:footer="0" w:header="0"/>
        </w:sectPr>
      </w:pPr>
    </w:p>
    <w:bookmarkStart w:id="11" w:name="page12"/>
    <w:bookmarkEnd w:id="11"/>
    <w:p>
      <w:pPr>
        <w:jc w:val="both"/>
        <w:spacing w:after="0" w:line="271" w:lineRule="auto"/>
        <w:rPr>
          <w:sz w:val="20"/>
          <w:szCs w:val="20"/>
          <w:color w:val="auto"/>
        </w:rPr>
      </w:pPr>
      <w:r>
        <w:rPr>
          <w:rFonts w:ascii="Times New Roman" w:cs="Times New Roman" w:eastAsia="Times New Roman" w:hAnsi="Times New Roman"/>
          <w:sz w:val="21"/>
          <w:szCs w:val="21"/>
          <w:color w:val="auto"/>
        </w:rPr>
        <w:t>A Person shall be deemed to control another Person if the controlling Person owns 10% or more of any class of Equity Interests of the controlled Person or possesses, directly or indirectly, the power to direct or cause the direction of the management or policies of the controlled Person, whether through ownership of Equity Interests, by contract or otherwise.</w:t>
      </w:r>
    </w:p>
    <w:p>
      <w:pPr>
        <w:spacing w:after="0" w:line="91"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“Aggregate Commitment” means the aggregate of the Commitments of all the Lenders, as reduced from time to time pursuant to the terms hereof. As of the date of this Agreement, the Aggregate Commitment is $1,000,000,000.</w:t>
      </w:r>
    </w:p>
    <w:p>
      <w:pPr>
        <w:spacing w:after="0" w:line="7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“Aggregate Outstanding Credit Exposure” means, at any time, the aggregate of the Outstanding Credit Exposure of all the Lenders.</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“Agreement” means this Credit Agreement, as it may be amended or modified and in effect from time to time.</w:t>
      </w:r>
    </w:p>
    <w:p>
      <w:pPr>
        <w:spacing w:after="0" w:line="160"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 xml:space="preserve">“Alternate Base Rate” means, for any day, a rate of interest per annum equal to the highest of (a) 0.0%, (b) the Prime Rate for such day, (c) the sum of the Federal Funds Effective Rate for such day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0.50% per annum and (d) the Adjusted Term SOFR Screen Rate (without giving effect to the Applicable Margin) for a one month Interest Period on such day (or if such day is not a Business Day or if the Term SOFR Screen Rate for such Business Day is not published due to a holiday or other circumstance that the Administrative Agent deems in its sole discretion to be temporary, the immediately preceding Business Day) for Dollars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1.00%. Any change in the Alternate Base Rate due to a change in the Prime Rate, the Federal Funds Effective Rate, or the Adjusted Term SOFR Screen Rate shall be effective from the effective date of such change. If the Alternate Base Rate is being used when Term SOFR Advances are unavailable pursuant to Section 2.11 or 3.3, then the Alternate Base Rate shall be the highest of clauses (a), (b) and (c) above, without reference to clause (d) above.</w:t>
      </w:r>
    </w:p>
    <w:p>
      <w:pPr>
        <w:spacing w:after="0" w:line="93"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“Anti-Corruption Laws” means all Laws of any jurisdiction applicable to the Borrower or its Subsidiaries from time to time concerning or relating to bribery or corruption, including, without limitation, the Foreign Corrupt Practices Act of 1977, as amended, and the rules and regulations thereunder.</w:t>
      </w:r>
    </w:p>
    <w:p>
      <w:pPr>
        <w:spacing w:after="0" w:line="87"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“Applicable Margin” means, at any time, with respect to Advances of any Type and commitment fees, the following percentages per annum, based upon the Net Leverage Ratio as set forth in the most recent Compliance Certificate received by the Administrative Agent pursuant to Section 6.1(d):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9" w:right="339" w:bottom="1440" w:gutter="0" w:footer="0" w:header="0"/>
        </w:sectPr>
      </w:pPr>
    </w:p>
    <w:bookmarkStart w:id="12" w:name="page13"/>
    <w:bookmarkEnd w:id="12"/>
    <w:tbl>
      <w:tblPr>
        <w:tblLayout w:type="fixed"/>
        <w:tblInd w:w="650" w:type="dxa"/>
        <w:tblCellMar>
          <w:top w:w="0" w:type="dxa"/>
          <w:left w:w="0" w:type="dxa"/>
          <w:bottom w:w="0" w:type="dxa"/>
          <w:right w:w="0" w:type="dxa"/>
        </w:tblCellMar>
      </w:tblPr>
      <w:tr>
        <w:trPr>
          <w:trHeight w:val="214"/>
        </w:trPr>
        <w:tc>
          <w:tcPr>
            <w:tcW w:w="1160" w:type="dxa"/>
            <w:vAlign w:val="bottom"/>
            <w:tcBorders>
              <w:top w:val="single" w:sz="8" w:color="auto"/>
              <w:left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1"/>
                <w:szCs w:val="21"/>
                <w:b w:val="1"/>
                <w:bCs w:val="1"/>
                <w:color w:val="auto"/>
              </w:rPr>
              <w:t>Pricing</w:t>
            </w:r>
          </w:p>
        </w:tc>
        <w:tc>
          <w:tcPr>
            <w:tcW w:w="3280" w:type="dxa"/>
            <w:vAlign w:val="bottom"/>
            <w:tcBorders>
              <w:top w:val="single" w:sz="8" w:color="auto"/>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Net Leverage Ratio</w:t>
            </w:r>
          </w:p>
        </w:tc>
        <w:tc>
          <w:tcPr>
            <w:tcW w:w="194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1"/>
                <w:szCs w:val="21"/>
                <w:b w:val="1"/>
                <w:bCs w:val="1"/>
                <w:color w:val="auto"/>
                <w:w w:val="99"/>
              </w:rPr>
              <w:t>Adjusted Term</w:t>
            </w: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rPr>
              <w:t>Base Rate</w:t>
            </w:r>
          </w:p>
        </w:tc>
        <w:tc>
          <w:tcPr>
            <w:tcW w:w="188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1"/>
                <w:szCs w:val="21"/>
                <w:b w:val="1"/>
                <w:bCs w:val="1"/>
                <w:color w:val="auto"/>
              </w:rPr>
              <w:t>Commitment Fee</w:t>
            </w:r>
          </w:p>
        </w:tc>
        <w:tc>
          <w:tcPr>
            <w:tcW w:w="0" w:type="dxa"/>
            <w:vAlign w:val="bottom"/>
          </w:tcPr>
          <w:p>
            <w:pPr>
              <w:spacing w:after="0"/>
              <w:rPr>
                <w:sz w:val="1"/>
                <w:szCs w:val="1"/>
                <w:color w:val="auto"/>
              </w:rPr>
            </w:pPr>
          </w:p>
        </w:tc>
      </w:tr>
      <w:tr>
        <w:trPr>
          <w:trHeight w:val="281"/>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Level</w:t>
            </w:r>
          </w:p>
        </w:tc>
        <w:tc>
          <w:tcPr>
            <w:tcW w:w="3280" w:type="dxa"/>
            <w:vAlign w:val="bottom"/>
            <w:tcBorders>
              <w:bottom w:val="single" w:sz="8" w:color="auto"/>
              <w:right w:val="single" w:sz="8" w:color="auto"/>
            </w:tcBorders>
            <w:gridSpan w:val="5"/>
            <w:vMerge w:val="continue"/>
          </w:tcPr>
          <w:p>
            <w:pPr>
              <w:spacing w:after="0"/>
              <w:rPr>
                <w:sz w:val="24"/>
                <w:szCs w:val="24"/>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SOFR Screen Rate</w:t>
            </w:r>
          </w:p>
        </w:tc>
        <w:tc>
          <w:tcPr>
            <w:tcW w:w="1940" w:type="dxa"/>
            <w:vAlign w:val="bottom"/>
            <w:tcBorders>
              <w:bottom w:val="single" w:sz="8" w:color="auto"/>
              <w:right w:val="single" w:sz="8" w:color="auto"/>
            </w:tcBorders>
            <w:vMerge w:val="continue"/>
          </w:tcPr>
          <w:p>
            <w:pPr>
              <w:spacing w:after="0"/>
              <w:rPr>
                <w:sz w:val="24"/>
                <w:szCs w:val="2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Rate</w:t>
            </w:r>
          </w:p>
        </w:tc>
        <w:tc>
          <w:tcPr>
            <w:tcW w:w="0" w:type="dxa"/>
            <w:vAlign w:val="bottom"/>
          </w:tcPr>
          <w:p>
            <w:pPr>
              <w:spacing w:after="0"/>
              <w:rPr>
                <w:sz w:val="1"/>
                <w:szCs w:val="1"/>
                <w:color w:val="auto"/>
              </w:rPr>
            </w:pPr>
          </w:p>
        </w:tc>
      </w:tr>
      <w:tr>
        <w:trPr>
          <w:trHeight w:val="261"/>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1</w:t>
            </w: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21"/>
                <w:szCs w:val="21"/>
                <w:color w:val="auto"/>
              </w:rPr>
              <w:t>&gt; 2.50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1.625%</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0.625%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0.200%</w:t>
            </w:r>
          </w:p>
        </w:tc>
        <w:tc>
          <w:tcPr>
            <w:tcW w:w="0" w:type="dxa"/>
            <w:vAlign w:val="bottom"/>
          </w:tcPr>
          <w:p>
            <w:pPr>
              <w:spacing w:after="0"/>
              <w:rPr>
                <w:sz w:val="1"/>
                <w:szCs w:val="1"/>
                <w:color w:val="auto"/>
              </w:rPr>
            </w:pPr>
          </w:p>
        </w:tc>
      </w:tr>
      <w:tr>
        <w:trPr>
          <w:trHeight w:val="288"/>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2</w:t>
            </w:r>
          </w:p>
        </w:tc>
        <w:tc>
          <w:tcPr>
            <w:tcW w:w="328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21"/>
                <w:szCs w:val="21"/>
                <w:color w:val="auto"/>
              </w:rPr>
              <w:t>&lt; 2.50 to 1.00 but</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1.375%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0.375%</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0.175%</w:t>
            </w:r>
          </w:p>
        </w:tc>
        <w:tc>
          <w:tcPr>
            <w:tcW w:w="0" w:type="dxa"/>
            <w:vAlign w:val="bottom"/>
          </w:tcPr>
          <w:p>
            <w:pPr>
              <w:spacing w:after="0"/>
              <w:rPr>
                <w:sz w:val="1"/>
                <w:szCs w:val="1"/>
                <w:color w:val="auto"/>
              </w:rPr>
            </w:pPr>
          </w:p>
        </w:tc>
      </w:tr>
      <w:tr>
        <w:trPr>
          <w:trHeight w:val="285"/>
        </w:trPr>
        <w:tc>
          <w:tcPr>
            <w:tcW w:w="116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320" w:type="dxa"/>
            <w:vAlign w:val="bottom"/>
            <w:tcBorders>
              <w:right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21"/>
                <w:szCs w:val="21"/>
                <w:color w:val="auto"/>
              </w:rPr>
              <w:t>&gt; 2.00 to 1.00</w:t>
            </w:r>
          </w:p>
        </w:tc>
        <w:tc>
          <w:tcPr>
            <w:tcW w:w="19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1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3</w:t>
            </w:r>
          </w:p>
        </w:tc>
        <w:tc>
          <w:tcPr>
            <w:tcW w:w="328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21"/>
                <w:szCs w:val="21"/>
                <w:color w:val="auto"/>
              </w:rPr>
              <w:t>&lt; 2.00 to 1.00 but</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1.250%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0.250%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0.150%</w:t>
            </w:r>
          </w:p>
        </w:tc>
        <w:tc>
          <w:tcPr>
            <w:tcW w:w="0" w:type="dxa"/>
            <w:vAlign w:val="bottom"/>
          </w:tcPr>
          <w:p>
            <w:pPr>
              <w:spacing w:after="0"/>
              <w:rPr>
                <w:sz w:val="1"/>
                <w:szCs w:val="1"/>
                <w:color w:val="auto"/>
              </w:rPr>
            </w:pPr>
          </w:p>
        </w:tc>
      </w:tr>
      <w:tr>
        <w:trPr>
          <w:trHeight w:val="285"/>
        </w:trPr>
        <w:tc>
          <w:tcPr>
            <w:tcW w:w="116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320" w:type="dxa"/>
            <w:vAlign w:val="bottom"/>
            <w:tcBorders>
              <w:right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21"/>
                <w:szCs w:val="21"/>
                <w:color w:val="auto"/>
              </w:rPr>
              <w:t>&gt; 1.50 to 1.00</w:t>
            </w:r>
          </w:p>
        </w:tc>
        <w:tc>
          <w:tcPr>
            <w:tcW w:w="19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1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4</w:t>
            </w:r>
          </w:p>
        </w:tc>
        <w:tc>
          <w:tcPr>
            <w:tcW w:w="328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21"/>
                <w:szCs w:val="21"/>
                <w:color w:val="auto"/>
              </w:rPr>
              <w:t>&lt; 1.50 to 1.00 but</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1.125%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0.125%</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0.125%</w:t>
            </w:r>
          </w:p>
        </w:tc>
        <w:tc>
          <w:tcPr>
            <w:tcW w:w="0" w:type="dxa"/>
            <w:vAlign w:val="bottom"/>
          </w:tcPr>
          <w:p>
            <w:pPr>
              <w:spacing w:after="0"/>
              <w:rPr>
                <w:sz w:val="1"/>
                <w:szCs w:val="1"/>
                <w:color w:val="auto"/>
              </w:rPr>
            </w:pPr>
          </w:p>
        </w:tc>
      </w:tr>
      <w:tr>
        <w:trPr>
          <w:trHeight w:val="285"/>
        </w:trPr>
        <w:tc>
          <w:tcPr>
            <w:tcW w:w="116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320" w:type="dxa"/>
            <w:vAlign w:val="bottom"/>
            <w:tcBorders>
              <w:right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21"/>
                <w:szCs w:val="21"/>
                <w:color w:val="auto"/>
              </w:rPr>
              <w:t>&gt; 1.00 to 1.00</w:t>
            </w:r>
          </w:p>
        </w:tc>
        <w:tc>
          <w:tcPr>
            <w:tcW w:w="19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1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5</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right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21"/>
                <w:szCs w:val="21"/>
                <w:color w:val="auto"/>
              </w:rPr>
              <w:t>&lt; 1.00 to 1.00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1.000%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0.100%</w:t>
            </w:r>
          </w:p>
        </w:tc>
        <w:tc>
          <w:tcPr>
            <w:tcW w:w="0" w:type="dxa"/>
            <w:vAlign w:val="bottom"/>
          </w:tcPr>
          <w:p>
            <w:pPr>
              <w:spacing w:after="0"/>
              <w:rPr>
                <w:sz w:val="1"/>
                <w:szCs w:val="1"/>
                <w:color w:val="auto"/>
              </w:rPr>
            </w:pPr>
          </w:p>
        </w:tc>
      </w:tr>
      <w:tr>
        <w:trPr>
          <w:trHeight w:val="100"/>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2"/>
        <w:spacing w:after="0" w:line="262" w:lineRule="auto"/>
        <w:rPr>
          <w:sz w:val="20"/>
          <w:szCs w:val="20"/>
          <w:color w:val="auto"/>
        </w:rPr>
      </w:pPr>
      <w:r>
        <w:rPr>
          <w:rFonts w:ascii="Times New Roman" w:cs="Times New Roman" w:eastAsia="Times New Roman" w:hAnsi="Times New Roman"/>
          <w:sz w:val="21"/>
          <w:szCs w:val="21"/>
          <w:color w:val="auto"/>
        </w:rPr>
        <w:t>Adjustments, if any, to the Applicable Margin shall be effective from and after the first day of the first fiscal month immediately following the date on which the delivery of a Compliance Certificate is required pursuant to Section 6.1(d) until the first day of the first fiscal month immediately following the next such date on which delivery of a Compliance Certificate is so required. If the Borrower fails to deliver a Compliance Certificate to the Administrative Agent at the time required pursuant to Section 6.1(d), then the Applicable Margin shall be the highest Applicable Margin set forth in the foregoing table until five (5) days after such Compliance Certificate is so delivered.</w:t>
      </w:r>
    </w:p>
    <w:p>
      <w:pPr>
        <w:spacing w:after="0" w:line="103"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Notwithstanding the foregoing, Pricing Level 5 shall be deemed to be applicable until the Administrative Agent’s receipt of the applicable Compliance Certificate for the Borrower’s first fiscal quarter ending after the Effective Date, and adjustments to the Pricing Level then in effect shall thereafter be effected in accordance with the preceding paragraph.</w:t>
      </w:r>
    </w:p>
    <w:p>
      <w:pPr>
        <w:spacing w:after="0" w:line="91"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If any financial statement or certification delivered pursuant to Section 6.1 is shown to be inaccurate (regardless of whether this Agreement or the Commitments are in effect when such inaccuracy is discovered), and such inaccuracy, if corrected, would have led to the application of a higher Applicable Margin for any period (an “Applicable Period”) than the Applicable Margin applied for such Applicable Period, the Borrower shall immediately (a) deliver to the Administrative Agent a corrected Compliance Certificate for such Applicable Period, (b) determine the Applicable Margin for such Applicable Period based upon the corrected Compliance Certificate, and (c) pay to the Administrative Agent for the benefit of the Lenders the accrued additional interest and other fees owing as a result of such increased Applicable Margin for such Applicable Period. The foregoing does not limit the rights of the Administrative Agent and the Lenders under the Loan Documents, including their rights under Section 2.11 and Article VIII.</w:t>
      </w:r>
    </w:p>
    <w:p>
      <w:pPr>
        <w:spacing w:after="0" w:line="363"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“Approved Fund” means any Fund that is administered or managed by (a) a Lender, (b) an Affiliate of a Lender or (c) an entity or an Affiliate of an entity that administers or manages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30" w:right="339" w:bottom="1440" w:gutter="0" w:footer="0" w:header="0"/>
        </w:sectPr>
      </w:pPr>
    </w:p>
    <w:bookmarkStart w:id="13" w:name="page14"/>
    <w:bookmarkEnd w:id="13"/>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“Arrangers” means each of U.S. Bank, BofA Securities, Inc., Fifth Third Bank, National Association, PNC Capital Markets LLC, Regions Capital Markets, a division of Regions Bank, and Truist Securities, Inc., and their respective successors, in their respective capacities as Joint Lead Arrangers and Joint Book Runners.</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“Article” means an article of this Agreement unless another document is specifically referenced.</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“Augmenting Lender” is defined in Section 2.25.</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“Authorized Officer” means any of the President, Chief Executive Officer, Chief Financial Officer, Chief Accounting Officer, Treasurer, or Assistant Treasurer of the Borrower, acting singly.</w:t>
      </w:r>
    </w:p>
    <w:p>
      <w:pPr>
        <w:spacing w:after="0" w:line="70" w:lineRule="exact"/>
        <w:rPr>
          <w:sz w:val="20"/>
          <w:szCs w:val="20"/>
          <w:color w:val="auto"/>
        </w:rPr>
      </w:pPr>
    </w:p>
    <w:p>
      <w:pPr>
        <w:jc w:val="both"/>
        <w:ind w:firstLine="642"/>
        <w:spacing w:after="0" w:line="293" w:lineRule="auto"/>
        <w:rPr>
          <w:sz w:val="20"/>
          <w:szCs w:val="20"/>
          <w:color w:val="auto"/>
        </w:rPr>
      </w:pPr>
      <w:r>
        <w:rPr>
          <w:rFonts w:ascii="Times New Roman" w:cs="Times New Roman" w:eastAsia="Times New Roman" w:hAnsi="Times New Roman"/>
          <w:sz w:val="21"/>
          <w:szCs w:val="21"/>
          <w:color w:val="auto"/>
        </w:rPr>
        <w:t xml:space="preserve">“Available Aggregate Commitment” means, at any time, the Aggregate Commitment then in effect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the Aggregate Outstanding Credit Exposure at such time.</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“Available Tenor” means, as of any date of determination and with respect to the then-current Benchmark, as applicable,</w:t>
      </w:r>
    </w:p>
    <w:p>
      <w:pPr>
        <w:spacing w:after="0" w:line="37" w:lineRule="exact"/>
        <w:rPr>
          <w:sz w:val="20"/>
          <w:szCs w:val="20"/>
          <w:color w:val="auto"/>
        </w:rPr>
      </w:pPr>
    </w:p>
    <w:p>
      <w:pPr>
        <w:jc w:val="both"/>
        <w:ind w:firstLine="7"/>
        <w:spacing w:after="0" w:line="265" w:lineRule="auto"/>
        <w:tabs>
          <w:tab w:leader="none" w:pos="30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86"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“Bail-In Action” means the exercise of any Write-Down and Conversion Powers by the applicable Resolution Authority in respect of any liability of an Affected Financial Institution.</w:t>
      </w:r>
    </w:p>
    <w:p>
      <w:pPr>
        <w:spacing w:after="0" w:line="48" w:lineRule="exact"/>
        <w:rPr>
          <w:sz w:val="20"/>
          <w:szCs w:val="20"/>
          <w:color w:val="auto"/>
        </w:rPr>
      </w:pPr>
    </w:p>
    <w:p>
      <w:pPr>
        <w:jc w:val="both"/>
        <w:ind w:firstLine="642"/>
        <w:spacing w:after="0" w:line="263" w:lineRule="auto"/>
        <w:rPr>
          <w:sz w:val="20"/>
          <w:szCs w:val="20"/>
          <w:color w:val="auto"/>
        </w:rPr>
      </w:pPr>
      <w:r>
        <w:rPr>
          <w:rFonts w:ascii="Times New Roman" w:cs="Times New Roman" w:eastAsia="Times New Roman" w:hAnsi="Times New Roman"/>
          <w:sz w:val="21"/>
          <w:szCs w:val="21"/>
          <w:color w:val="auto"/>
        </w:rPr>
        <w:t>“Bail-In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347" w:lineRule="exact"/>
        <w:rPr>
          <w:sz w:val="20"/>
          <w:szCs w:val="20"/>
          <w:color w:val="auto"/>
        </w:rPr>
      </w:pPr>
    </w:p>
    <w:p>
      <w:pPr>
        <w:jc w:val="both"/>
        <w:ind w:right="20" w:firstLine="642"/>
        <w:spacing w:after="0" w:line="306" w:lineRule="auto"/>
        <w:rPr>
          <w:sz w:val="20"/>
          <w:szCs w:val="20"/>
          <w:color w:val="auto"/>
        </w:rPr>
      </w:pPr>
      <w:r>
        <w:rPr>
          <w:rFonts w:ascii="Times New Roman" w:cs="Times New Roman" w:eastAsia="Times New Roman" w:hAnsi="Times New Roman"/>
          <w:sz w:val="21"/>
          <w:szCs w:val="21"/>
          <w:color w:val="auto"/>
        </w:rPr>
        <w:t xml:space="preserve">“Base Rate” means, for any day, a rate per annum equal to (i) the Alternate Base Rate for such day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the Applicable Margin for such day, in each case changing when and as the Alternate Base Rate or the Applicable Margin changes.</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“Base Rate Advance” means an Advance which, except as otherwise provided in Section 2.11, bears interest at the Base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Rate.</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“Base Rate Loan” means a Loan which, except as otherwise provided in Section 2.11, bears interest at the Base Rate.</w:t>
      </w:r>
    </w:p>
    <w:p>
      <w:pPr>
        <w:spacing w:after="0" w:line="160"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 xml:space="preserve">“Benchmark” means, initially, the Term SOFR Screen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replacement of the Benchmark has occurred pursuant to Section 3.3(b), then “Benchmark” means the applicable Benchmark Replacement to the extent that such Benchmark Replacement has become effective pursuant to Section 3.3(b).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09" w:right="339" w:bottom="1440" w:gutter="0" w:footer="0" w:header="0"/>
        </w:sectPr>
      </w:pPr>
    </w:p>
    <w:bookmarkStart w:id="14" w:name="page15"/>
    <w:bookmarkEnd w:id="14"/>
    <w:p>
      <w:pPr>
        <w:ind w:firstLine="642"/>
        <w:spacing w:after="0" w:line="289" w:lineRule="auto"/>
        <w:rPr>
          <w:sz w:val="20"/>
          <w:szCs w:val="20"/>
          <w:color w:val="auto"/>
        </w:rPr>
      </w:pPr>
      <w:r>
        <w:rPr>
          <w:rFonts w:ascii="Times New Roman" w:cs="Times New Roman" w:eastAsia="Times New Roman" w:hAnsi="Times New Roman"/>
          <w:sz w:val="21"/>
          <w:szCs w:val="21"/>
          <w:color w:val="auto"/>
        </w:rPr>
        <w:t>“Benchmark Replacement” means, for any Available Tenor, the first alternative set forth in the order below that can be determined by the Administrative Agent for the applicable Benchmark Replacement Date:</w:t>
      </w:r>
    </w:p>
    <w:p>
      <w:pPr>
        <w:spacing w:after="0" w:line="74" w:lineRule="exact"/>
        <w:rPr>
          <w:sz w:val="20"/>
          <w:szCs w:val="20"/>
          <w:color w:val="auto"/>
        </w:rPr>
      </w:pPr>
    </w:p>
    <w:p>
      <w:pPr>
        <w:ind w:left="1760" w:hanging="469"/>
        <w:spacing w:after="0"/>
        <w:tabs>
          <w:tab w:leader="none" w:pos="17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Daily Simple SOFR; or</w:t>
      </w:r>
    </w:p>
    <w:p>
      <w:pPr>
        <w:spacing w:after="0" w:line="200" w:lineRule="exact"/>
        <w:rPr>
          <w:rFonts w:ascii="Times New Roman" w:cs="Times New Roman" w:eastAsia="Times New Roman" w:hAnsi="Times New Roman"/>
          <w:sz w:val="21"/>
          <w:szCs w:val="21"/>
          <w:color w:val="auto"/>
        </w:rPr>
      </w:pPr>
    </w:p>
    <w:p>
      <w:pPr>
        <w:spacing w:after="0" w:line="347" w:lineRule="exact"/>
        <w:rPr>
          <w:rFonts w:ascii="Times New Roman" w:cs="Times New Roman" w:eastAsia="Times New Roman" w:hAnsi="Times New Roman"/>
          <w:sz w:val="21"/>
          <w:szCs w:val="21"/>
          <w:color w:val="auto"/>
        </w:rPr>
      </w:pPr>
    </w:p>
    <w:p>
      <w:pPr>
        <w:jc w:val="both"/>
        <w:ind w:left="1300" w:hanging="9"/>
        <w:spacing w:after="0" w:line="259" w:lineRule="auto"/>
        <w:tabs>
          <w:tab w:leader="none" w:pos="188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200" w:lineRule="exact"/>
        <w:rPr>
          <w:sz w:val="20"/>
          <w:szCs w:val="20"/>
          <w:color w:val="auto"/>
        </w:rPr>
      </w:pPr>
    </w:p>
    <w:p>
      <w:pPr>
        <w:spacing w:after="0" w:line="29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1"/>
          <w:szCs w:val="21"/>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74"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“Benchmark Replacement Adjustment” means, with respect to any replacement of the then-current Benchmark with an Unadjusted Benchmark Replacement pursuant to clause (2) thereof for any applicable Interest Period and Available Tenor for any setting of such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09"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“Benchmark Replacement Conforming Changes” means, with respect to any Benchmark Replacement, any technical, administrative or operational changes (including changes to the definition of “Adjusted Term SOFR Screen Rate”, the definition of “Advance”, the definition of “Term SOFR Advance,” the definition of “Alternate Base Rate,” the definition of “Business Day,” the definition of “Term SOFR Loan”,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09" w:right="339" w:bottom="1440" w:gutter="0" w:footer="0" w:header="0"/>
        </w:sectPr>
      </w:pPr>
    </w:p>
    <w:bookmarkStart w:id="15" w:name="page16"/>
    <w:bookmarkEnd w:id="15"/>
    <w:p>
      <w:pPr>
        <w:jc w:val="both"/>
        <w:spacing w:after="0" w:line="269" w:lineRule="auto"/>
        <w:rPr>
          <w:sz w:val="20"/>
          <w:szCs w:val="20"/>
          <w:color w:val="auto"/>
        </w:rPr>
      </w:pPr>
      <w:r>
        <w:rPr>
          <w:rFonts w:ascii="Times New Roman" w:cs="Times New Roman" w:eastAsia="Times New Roman" w:hAnsi="Times New Roman"/>
          <w:sz w:val="21"/>
          <w:szCs w:val="21"/>
          <w:color w:val="auto"/>
        </w:rPr>
        <w:t>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“Benchmark Replacement Date” means the earlier to occur of the following events with respect to the then-current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Benchmark:</w:t>
      </w:r>
    </w:p>
    <w:p>
      <w:pPr>
        <w:spacing w:after="0" w:line="135" w:lineRule="exact"/>
        <w:rPr>
          <w:sz w:val="20"/>
          <w:szCs w:val="20"/>
          <w:color w:val="auto"/>
        </w:rPr>
      </w:pPr>
    </w:p>
    <w:p>
      <w:pPr>
        <w:jc w:val="both"/>
        <w:ind w:left="1300" w:hanging="9"/>
        <w:spacing w:after="0" w:line="269" w:lineRule="auto"/>
        <w:tabs>
          <w:tab w:leader="none" w:pos="180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and</w:t>
      </w:r>
    </w:p>
    <w:p>
      <w:pPr>
        <w:spacing w:after="0" w:line="200" w:lineRule="exact"/>
        <w:rPr>
          <w:rFonts w:ascii="Times New Roman" w:cs="Times New Roman" w:eastAsia="Times New Roman" w:hAnsi="Times New Roman"/>
          <w:sz w:val="21"/>
          <w:szCs w:val="21"/>
          <w:color w:val="auto"/>
        </w:rPr>
      </w:pPr>
    </w:p>
    <w:p>
      <w:pPr>
        <w:spacing w:after="0" w:line="282" w:lineRule="exact"/>
        <w:rPr>
          <w:rFonts w:ascii="Times New Roman" w:cs="Times New Roman" w:eastAsia="Times New Roman" w:hAnsi="Times New Roman"/>
          <w:sz w:val="21"/>
          <w:szCs w:val="21"/>
          <w:color w:val="auto"/>
        </w:rPr>
      </w:pPr>
    </w:p>
    <w:p>
      <w:pPr>
        <w:jc w:val="both"/>
        <w:ind w:left="1300" w:hanging="9"/>
        <w:spacing w:after="0" w:line="259" w:lineRule="auto"/>
        <w:tabs>
          <w:tab w:leader="none" w:pos="187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200" w:lineRule="exact"/>
        <w:rPr>
          <w:sz w:val="20"/>
          <w:szCs w:val="20"/>
          <w:color w:val="auto"/>
        </w:rPr>
      </w:pPr>
    </w:p>
    <w:p>
      <w:pPr>
        <w:spacing w:after="0" w:line="2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with respect to any Benchmark upon the occurrence of the applicable event or events set forth therein with respect to all then-current Available Tenors of such Benchmark (or the published component used in the calculation thereof).</w:t>
      </w:r>
    </w:p>
    <w:p>
      <w:pPr>
        <w:spacing w:after="0" w:line="98"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“Benchmark Transition Event” means the occurrence of one or more of the following events with respect to the then-current Benchmark:</w:t>
      </w:r>
    </w:p>
    <w:p>
      <w:pPr>
        <w:spacing w:after="0" w:line="74" w:lineRule="exact"/>
        <w:rPr>
          <w:sz w:val="20"/>
          <w:szCs w:val="20"/>
          <w:color w:val="auto"/>
        </w:rPr>
      </w:pPr>
    </w:p>
    <w:p>
      <w:pPr>
        <w:jc w:val="both"/>
        <w:ind w:left="1300" w:hanging="9"/>
        <w:spacing w:after="0" w:line="261" w:lineRule="auto"/>
        <w:tabs>
          <w:tab w:leader="none" w:pos="181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09" w:right="339" w:bottom="1440" w:gutter="0" w:footer="0" w:header="0"/>
        </w:sectPr>
      </w:pPr>
    </w:p>
    <w:bookmarkStart w:id="16" w:name="page17"/>
    <w:bookmarkEnd w:id="16"/>
    <w:p>
      <w:pPr>
        <w:spacing w:after="0" w:line="358" w:lineRule="exact"/>
        <w:rPr>
          <w:sz w:val="20"/>
          <w:szCs w:val="20"/>
          <w:color w:val="auto"/>
        </w:rPr>
      </w:pPr>
    </w:p>
    <w:p>
      <w:pPr>
        <w:jc w:val="both"/>
        <w:ind w:left="1300" w:hanging="9"/>
        <w:spacing w:after="0" w:line="258" w:lineRule="auto"/>
        <w:tabs>
          <w:tab w:leader="none" w:pos="1854"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3" w:lineRule="exact"/>
        <w:rPr>
          <w:rFonts w:ascii="Times New Roman" w:cs="Times New Roman" w:eastAsia="Times New Roman" w:hAnsi="Times New Roman"/>
          <w:sz w:val="21"/>
          <w:szCs w:val="21"/>
          <w:color w:val="auto"/>
        </w:rPr>
      </w:pPr>
    </w:p>
    <w:p>
      <w:pPr>
        <w:jc w:val="both"/>
        <w:ind w:left="1300" w:hanging="9"/>
        <w:spacing w:after="0" w:line="271" w:lineRule="auto"/>
        <w:tabs>
          <w:tab w:leader="none" w:pos="1943"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any of the entities referenced in clause (2) above announcing that all Available Tenors of such Benchmark (or such component thereof) are no longer, or as of a specified future date will no longer be, representative.</w:t>
      </w:r>
    </w:p>
    <w:p>
      <w:pPr>
        <w:spacing w:after="0" w:line="200" w:lineRule="exact"/>
        <w:rPr>
          <w:sz w:val="20"/>
          <w:szCs w:val="20"/>
          <w:color w:val="auto"/>
        </w:rPr>
      </w:pPr>
    </w:p>
    <w:p>
      <w:pPr>
        <w:spacing w:after="0" w:line="2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91"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“Benchmark Unavailability Period” means the period (if any) (x) beginning at the time that a Benchmark Replacement Date pursuant to clauses (1) or (2) of that definition has occurred if, at such time, no Benchmark Replacement has replaced the then-current Benchmark in accordance with Section 3.3(b), and (y) ending at the time that a Benchmark Replacement has replaced the then-current Benchmark in accordance with Section 3.3(b).</w:t>
      </w:r>
    </w:p>
    <w:p>
      <w:pPr>
        <w:spacing w:after="0" w:line="81"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“Beneficial Ownership Certification” means a certification regarding beneficial ownership as required by the Beneficial Ownership Regulation.</w:t>
      </w:r>
    </w:p>
    <w:p>
      <w:pPr>
        <w:spacing w:after="0" w:line="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“Beneficial Ownership Regulation” means 31 C.F.R. § 1010.230.</w:t>
      </w:r>
    </w:p>
    <w:p>
      <w:pPr>
        <w:spacing w:after="0" w:line="160"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“Borrower” means Jack Henry &amp; Associates, Inc., a Delaware corporation,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21"/>
          <w:szCs w:val="21"/>
          <w:color w:val="auto"/>
        </w:rPr>
        <w:t>“Borrowing Date” means a date on which an Advance is made or a Facility LC is issued hereunder.</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“Borrowing Notice” is defined in Section 2.8.</w:t>
      </w:r>
    </w:p>
    <w:p>
      <w:pPr>
        <w:spacing w:after="0" w:line="160" w:lineRule="exact"/>
        <w:rPr>
          <w:sz w:val="20"/>
          <w:szCs w:val="20"/>
          <w:color w:val="auto"/>
        </w:rPr>
      </w:pPr>
    </w:p>
    <w:p>
      <w:pPr>
        <w:jc w:val="both"/>
        <w:ind w:firstLine="642"/>
        <w:spacing w:after="0" w:line="261" w:lineRule="auto"/>
        <w:rPr>
          <w:sz w:val="20"/>
          <w:szCs w:val="20"/>
          <w:color w:val="auto"/>
        </w:rPr>
      </w:pPr>
      <w:r>
        <w:rPr>
          <w:rFonts w:ascii="Times New Roman" w:cs="Times New Roman" w:eastAsia="Times New Roman" w:hAnsi="Times New Roman"/>
          <w:sz w:val="21"/>
          <w:szCs w:val="21"/>
          <w:color w:val="auto"/>
        </w:rPr>
        <w:t xml:space="preserve">“Business Day” means a day (other than a Saturday or Sunday) on which banks generally are open in New York City, New York for the conduct of substantially all of their commercial lending activities and interbank wire transfers can be made on the Fedwire system;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when used in connection with SOFR or the Term SOFR Screen Rate, the term “Business Day” excludes any day on which the Securities Industry and Financial Markets Association (SIFMA) recommends that the fixed income departments of its members be closed for the entire day for purposes of trading in United States government securities.</w:t>
      </w:r>
    </w:p>
    <w:p>
      <w:pPr>
        <w:spacing w:after="0" w:line="105"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“Capital Expenditures” means, without duplication, any expenditures for any purchase or other acquisition of any asset which would be classified as a fixed or capital asset on a consolidated balance sheet of the Borrower and its Subsidiaries prepared in accordance with GAAP.</w:t>
      </w:r>
    </w:p>
    <w:p>
      <w:pPr>
        <w:spacing w:after="0" w:line="87"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“Cash Collateralize” means to deposit in the Facility LC Collateral Account or to pledge and deposit with or deliver to the Administrative Agent, for the benefit of one or more of the LC Issuer or Lenders, as collateral for LC Obligations or obligations of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“Cash Equivalent Investments” means (i) short-term obligations of, or fully guaranteed by, the United States of America,</w:t>
      </w:r>
    </w:p>
    <w:p>
      <w:pPr>
        <w:spacing w:after="0" w:line="37" w:lineRule="exact"/>
        <w:rPr>
          <w:sz w:val="20"/>
          <w:szCs w:val="20"/>
          <w:color w:val="auto"/>
        </w:rPr>
      </w:pPr>
    </w:p>
    <w:p>
      <w:pPr>
        <w:jc w:val="both"/>
        <w:ind w:firstLine="7"/>
        <w:spacing w:after="0" w:line="257" w:lineRule="auto"/>
        <w:tabs>
          <w:tab w:leader="none" w:pos="33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commercial paper rated A-1 or better by S&amp;P or P-1 or better by Moody’s, (iii) demand deposit accounts maintained in the ordinary course of business, and (iv) certificates of deposit issued by and time deposits with commercial banks (whether domestic or foreign) having capital and surplus in excess of $500,000,000;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in each case that the same provides for payment of both principal and interest (and not principal alone or interest alone) and is not subject to any contingency regarding the payment of principal or interest and (v) shares of money market mutual funds that are rated at least “AAAm” or “AAAG” by S&amp;P or “P-1” or better by Moody’s.</w:t>
      </w:r>
    </w:p>
    <w:p>
      <w:pPr>
        <w:spacing w:after="0" w:line="110" w:lineRule="exact"/>
        <w:rPr>
          <w:sz w:val="20"/>
          <w:szCs w:val="20"/>
          <w:color w:val="auto"/>
        </w:rPr>
      </w:pPr>
    </w:p>
    <w:p>
      <w:pPr>
        <w:jc w:val="both"/>
        <w:ind w:firstLine="642"/>
        <w:spacing w:after="0" w:line="263" w:lineRule="auto"/>
        <w:rPr>
          <w:sz w:val="20"/>
          <w:szCs w:val="20"/>
          <w:color w:val="auto"/>
        </w:rPr>
      </w:pPr>
      <w:r>
        <w:rPr>
          <w:rFonts w:ascii="Times New Roman" w:cs="Times New Roman" w:eastAsia="Times New Roman" w:hAnsi="Times New Roman"/>
          <w:sz w:val="21"/>
          <w:szCs w:val="21"/>
          <w:color w:val="auto"/>
        </w:rPr>
        <w:t>“Cash Management Services” means any banking services that are provided to the Borrower or any Subsidiary by the Administrative Agent, the LC Issuer or any other Lender or any Affiliate of any of the foregoing (at the time such banking service is entered into), including: (a) credit cards, (b) credit card processing services, (c) debit cards, (d) purchase cards, (e) stored value cards, (f) freight payable transactions, (g) automated clearing house or wire transfer services, or (h) treasury management, including controlled disbursement, consolidated account, lockbox, overdraft, return items, sweep and interstate depository network services.</w:t>
      </w:r>
    </w:p>
    <w:p>
      <w:pPr>
        <w:spacing w:after="0" w:line="362" w:lineRule="exact"/>
        <w:rPr>
          <w:sz w:val="20"/>
          <w:szCs w:val="20"/>
          <w:color w:val="auto"/>
        </w:rPr>
      </w:pPr>
    </w:p>
    <w:p>
      <w:pPr>
        <w:jc w:val="both"/>
        <w:ind w:right="20" w:firstLine="642"/>
        <w:spacing w:after="0" w:line="271" w:lineRule="auto"/>
        <w:rPr>
          <w:sz w:val="20"/>
          <w:szCs w:val="20"/>
          <w:color w:val="auto"/>
        </w:rPr>
      </w:pPr>
      <w:r>
        <w:rPr>
          <w:rFonts w:ascii="Times New Roman" w:cs="Times New Roman" w:eastAsia="Times New Roman" w:hAnsi="Times New Roman"/>
          <w:sz w:val="21"/>
          <w:szCs w:val="21"/>
          <w:color w:val="auto"/>
        </w:rPr>
        <w:t>“Change in Control” means (i) the acquisition by any Person, or two or more Persons acting in concert, of beneficial ownership (within the meaning of Rule 13d-3 of the U.S. Securities and Exchange Commission under the Securities Exchange Act of 1934) of 40%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09" w:right="339" w:bottom="1440" w:gutter="0" w:footer="0" w:header="0"/>
        </w:sectPr>
      </w:pPr>
    </w:p>
    <w:bookmarkStart w:id="18" w:name="page19"/>
    <w:bookmarkEnd w:id="18"/>
    <w:p>
      <w:pPr>
        <w:jc w:val="both"/>
        <w:spacing w:after="0" w:line="271" w:lineRule="auto"/>
        <w:rPr>
          <w:sz w:val="20"/>
          <w:szCs w:val="20"/>
          <w:color w:val="auto"/>
        </w:rPr>
      </w:pPr>
      <w:r>
        <w:rPr>
          <w:rFonts w:ascii="Times New Roman" w:cs="Times New Roman" w:eastAsia="Times New Roman" w:hAnsi="Times New Roman"/>
          <w:sz w:val="21"/>
          <w:szCs w:val="21"/>
          <w:color w:val="auto"/>
        </w:rPr>
        <w:t>more of the outstanding shares of voting stock of the Borrower on a fully diluted basis; or (ii) within any twenty-four month period, occupation of a majority of the seats (other than vacant seats) on the board of directors of the Borrower by Persons who were neither (x) nominated by the board of directors of the Borrower nor (y) appointed or approved by directors so nominated.</w:t>
      </w:r>
    </w:p>
    <w:p>
      <w:pPr>
        <w:spacing w:after="0" w:line="91"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“Change in Law” means the occurrence, after the date of this Agreement,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368"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“Co-Syndication Agent” means each of Bank of America, N.A., Fifth Third Bank, National Association, PNC Bank, National Association, Regions Bank, and Truist Bank, each together with its successors and assigns.</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“Code” means the Internal Revenue Code of 1986.</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“Collateral Shortfall Amount” is defined in Section 8.1(a).</w:t>
      </w:r>
    </w:p>
    <w:p>
      <w:pPr>
        <w:spacing w:after="0" w:line="160"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“Commitment” means, for each Lender, the obligation of such Lender to make Loans to, and participate in Facility LCs issued upon the application of and Swing Line Loans made to, the Borrower, in an amount not exceeding the amount set forth in Schedule 1, as it may be modified (i) pursuant to Section 2.7, (ii) as a result of any assignment that has become effective pursuant to Section 12.3(c) or (iii) otherwise from time to time pursuant to the terms hereof.</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“Commodity Exchange Act” means the Commodity Exchange Act (7 U.S.C. §1 et seq.).</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“Compliance Certificate” means a compliance certificate in substantially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642"/>
        <w:spacing w:after="0" w:line="273" w:lineRule="auto"/>
        <w:rPr>
          <w:sz w:val="20"/>
          <w:szCs w:val="20"/>
          <w:color w:val="auto"/>
        </w:rPr>
      </w:pPr>
      <w:r>
        <w:rPr>
          <w:rFonts w:ascii="Times New Roman" w:cs="Times New Roman" w:eastAsia="Times New Roman" w:hAnsi="Times New Roman"/>
          <w:sz w:val="21"/>
          <w:szCs w:val="21"/>
          <w:color w:val="auto"/>
        </w:rPr>
        <w:t xml:space="preserve">“Consolidated EBITDA” means Consolidated Net Income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to the extent deducted from revenues in determining Consolidated Net Income and without duplication, (i) Consolidated Interest Expense, (ii) expense for taxes paid in cash or accrued,</w:t>
      </w:r>
    </w:p>
    <w:p>
      <w:pPr>
        <w:jc w:val="both"/>
        <w:ind w:firstLine="7"/>
        <w:spacing w:after="0" w:line="257" w:lineRule="auto"/>
        <w:tabs>
          <w:tab w:leader="none" w:pos="391"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depreciation, (iv) amortization, (v) unusual or non-recurring non-cash expenses, charges or losses incurred other than in the ordinary course of business, (vi) non-cash expenses related to stock based compensation, (vii) any actual out-of-pocket expenses, costs or charges paid in connection with any offering of Equity Interests, any Investment permitted under Section 6.14 or Acquisition permitted under Section 6.15, any sale, lease or disposition permitted under Section 6.13, or any incurrence or repayment of Indebtedness permitted under this Agreement, including a refinancing thereof,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(viii) the amount of “run rate” cost savings, operating expense reductions, and synergies excluding, in all cases, revenue synergies (collectively, “Run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09"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Benefits”) related to any Specified Transaction or any restructuring, cost saving initiative, new contract or other initiative projected by the Borrower in good faith to be realized as a result of actions taken or with respect to which substantial steps have been taken or are expected to be taken within twelve (12) months after the relevant test period (which cost savings, operating expense reductions and synergies shall be calculated on a pro forma basis as though such Run Rate Benefits had been realized on the first day of the period for which Consolidated EBITDA is being determined), as such Run Rate Benefits shall be set forth in reasonable detail in a certificate of the chief financial officer and treasurer or assistant treasurer of the Borrower delivered to the Administrative Agent prior to the inclusion thereof in any determination of Consolidated EBITDA, and, in each case, net of the amount of cost savings, operating expense reductions and synergies actually realized as a result thereof during the applicable period, and excluding any amount to the extent duplicative of any expenses or charges otherwise added to Consolidated Net Income or Consolidated EBITDA, whether through a pro forma adjustment, addback, exclusion or otherwise, for the applicable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added back pursuant to this clause (viii) in any Reference Period shall not exceed 10% of Consolidated EBITDA (calculated before giving effect to this clause (viii)),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to the extent included in Consolidated Net Income, (1) unusual or non-recurring income or gains realized other than in the ordinary course of business, (2) interest income,</w:t>
      </w:r>
    </w:p>
    <w:p>
      <w:pPr>
        <w:spacing w:after="0" w:line="6" w:lineRule="exact"/>
        <w:rPr>
          <w:sz w:val="20"/>
          <w:szCs w:val="20"/>
          <w:color w:val="auto"/>
        </w:rPr>
      </w:pPr>
    </w:p>
    <w:p>
      <w:pPr>
        <w:jc w:val="both"/>
        <w:ind w:firstLine="7"/>
        <w:spacing w:after="0" w:line="257" w:lineRule="auto"/>
        <w:tabs>
          <w:tab w:leader="none" w:pos="30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income tax credits and refunds (to the extent not netted from tax expense), and (4) any cash payments made during such period in respect of items described in clauses (v) or (vi) above subsequent to the fiscal quarter in which the relevant non-cash expenses, charges or losses were incurred, all calculated for the Borrower and its Subsidiaries on a consolidated basis. For the purposes of calculating Consolidated EBITDA for any period of four (4) consecutive fiscal quarters (each, a “Reference Period”), (i) if at any time during such Reference Period the Borrower or any Subsidiary shall have made any sale, transfer or disposition of Property or series of related sales, transfers, or dispositions of Property (other than inventory in the ordinary course of business), Consolidated EBITDA for such Reference Period shall be reduced by an amount equal to the Consolidated EBITDA (if positive) attributable to the Property that is the subject of such sale, transfer or disposition for such Reference Period or increased by an amount equal to the Consolidated EBITDA (if negative) attributable thereto for such Reference Period, and (ii) if during such Reference Period the Borrower or any Subsidiary shall have made a Permitted Acquisition, Consolidated EBITDA for such Reference Period shall be calculated after giving pro forma effect thereto on a basis approved by the Administrative Agent in its reasonable credit judgment as if such Permitted Acquisition occurred on the first day of such Reference Period.</w:t>
      </w:r>
    </w:p>
    <w:p>
      <w:pPr>
        <w:spacing w:after="0" w:line="96" w:lineRule="exact"/>
        <w:rPr>
          <w:sz w:val="20"/>
          <w:szCs w:val="20"/>
          <w:color w:val="auto"/>
        </w:rPr>
      </w:pPr>
    </w:p>
    <w:p>
      <w:pPr>
        <w:jc w:val="both"/>
        <w:ind w:firstLine="642"/>
        <w:spacing w:after="0" w:line="290" w:lineRule="auto"/>
        <w:rPr>
          <w:sz w:val="20"/>
          <w:szCs w:val="20"/>
          <w:color w:val="auto"/>
        </w:rPr>
      </w:pPr>
      <w:r>
        <w:rPr>
          <w:rFonts w:ascii="Times New Roman" w:cs="Times New Roman" w:eastAsia="Times New Roman" w:hAnsi="Times New Roman"/>
          <w:sz w:val="21"/>
          <w:szCs w:val="21"/>
          <w:color w:val="auto"/>
        </w:rPr>
        <w:t xml:space="preserve">“Consolidated Funded Indebtedness” means at any time the aggregate principal amount of Consolidated Indebtedness </w:t>
      </w:r>
      <w:r>
        <w:rPr>
          <w:rFonts w:ascii="Times New Roman" w:cs="Times New Roman" w:eastAsia="Times New Roman" w:hAnsi="Times New Roman"/>
          <w:sz w:val="21"/>
          <w:szCs w:val="21"/>
          <w:i w:val="1"/>
          <w:iCs w:val="1"/>
          <w:color w:val="auto"/>
        </w:rPr>
        <w:t xml:space="preserve">minus </w:t>
      </w:r>
      <w:r>
        <w:rPr>
          <w:rFonts w:ascii="Times New Roman" w:cs="Times New Roman" w:eastAsia="Times New Roman" w:hAnsi="Times New Roman"/>
          <w:sz w:val="21"/>
          <w:szCs w:val="21"/>
          <w:color w:val="auto"/>
        </w:rPr>
        <w:t>Net Mark-to-Market Exposure in respect of Swap Obligations</w:t>
      </w:r>
      <w:r>
        <w:rPr>
          <w:rFonts w:ascii="Times New Roman" w:cs="Times New Roman" w:eastAsia="Times New Roman" w:hAnsi="Times New Roman"/>
          <w:sz w:val="21"/>
          <w:szCs w:val="21"/>
          <w:i w:val="1"/>
          <w:iCs w:val="1"/>
          <w:color w:val="auto"/>
        </w:rPr>
        <w:t xml:space="preserve"> minus </w:t>
      </w:r>
      <w:r>
        <w:rPr>
          <w:rFonts w:ascii="Times New Roman" w:cs="Times New Roman" w:eastAsia="Times New Roman" w:hAnsi="Times New Roman"/>
          <w:sz w:val="21"/>
          <w:szCs w:val="21"/>
          <w:color w:val="auto"/>
        </w:rPr>
        <w:t>the undrawn face amount of commercial letters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credit.</w:t>
      </w:r>
    </w:p>
    <w:p>
      <w:pPr>
        <w:spacing w:after="0" w:line="339"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“Consolidated Indebtedness” means at any time the Indebtedness of the Borrower and its Subsidiaries calculated on a consolidated basis as of such time.</w:t>
      </w:r>
    </w:p>
    <w:p>
      <w:pPr>
        <w:spacing w:after="0" w:line="74"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 xml:space="preserve">“Consolidated Interest Expense” means, with reference to any period, the interest expense of the Borrower and its Subsidiaries (including the interest component under Finance Leases) calculated on a consolidated basis for such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write-offs of deferred financing costs and amortization of debt discount and premium shall not constitute Consolidated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09" w:right="339" w:bottom="1440" w:gutter="0" w:footer="0" w:header="0"/>
        </w:sectPr>
      </w:pPr>
    </w:p>
    <w:bookmarkStart w:id="20" w:name="page21"/>
    <w:bookmarkEnd w:id="20"/>
    <w:p>
      <w:pPr>
        <w:jc w:val="both"/>
        <w:spacing w:after="0" w:line="260" w:lineRule="auto"/>
        <w:rPr>
          <w:sz w:val="20"/>
          <w:szCs w:val="20"/>
          <w:color w:val="auto"/>
        </w:rPr>
      </w:pPr>
      <w:r>
        <w:rPr>
          <w:rFonts w:ascii="Times New Roman" w:cs="Times New Roman" w:eastAsia="Times New Roman" w:hAnsi="Times New Roman"/>
          <w:sz w:val="21"/>
          <w:szCs w:val="21"/>
          <w:color w:val="auto"/>
        </w:rPr>
        <w:t>Expense. For the purposes of calculating Consolidated Interest Expense for any Reference Period, (i) if at any time during such Reference Period the Borrower or any Subsidiary shall have made any sale, transfer or disposition of Property or series of related sales, transfers, or dispositions of Property (other than inventory in the ordinary course of business), the Consolidated Interest Expense for such Reference Period shall be reduced by an amount equal to the Consolidated Interest Expense (if positive) attributable to the Property that is the subject of such sale, transfer or disposition for such Reference Period or increased by an amount equal to the Consolidated Interest Expense (if negative) attributable thereto for such Reference Period, and (ii) if during such Reference Period the Borrower or any Subsidiary shall have made a Permitted Acquisition, Consolidated Interest Expense for such Reference Period shall be calculated after giving pro forma effect thereto on a basis approved by the Administrative Agent in its reasonable credit judgment as if such Permitted Acquisition occurred on the first day of such Reference Period.</w:t>
      </w:r>
    </w:p>
    <w:p>
      <w:pPr>
        <w:spacing w:after="0" w:line="93"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“Consolidated Net Income” means, with reference to any period, the net income (or loss) of the Borrower and its Subsidiaries calculated on a consolidated basis for such period.</w:t>
      </w:r>
    </w:p>
    <w:p>
      <w:pPr>
        <w:spacing w:after="0" w:line="48"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“Consolidated Net Worth” means at any time the consolidated stockholders’ equity of the Borrower and its Subsidiaries calculated on a consolidated basis as of such time, all as defined according to GAAP.</w:t>
      </w:r>
    </w:p>
    <w:p>
      <w:pPr>
        <w:spacing w:after="0" w:line="48"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“Consolidated Total Assets” means, as of the date of any determination thereof, total assets of the Borrower and its Subsidiaries calculated in accordance with GAAP on a consolidated basis as of such date.</w:t>
      </w:r>
    </w:p>
    <w:p>
      <w:pPr>
        <w:spacing w:after="0" w:line="48" w:lineRule="exact"/>
        <w:rPr>
          <w:sz w:val="20"/>
          <w:szCs w:val="20"/>
          <w:color w:val="auto"/>
        </w:rPr>
      </w:pPr>
    </w:p>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“Constituent Documents” means, with respect to any Person, as applicable, such Person’s certificate of incorporation, articles of incorporation, bylaws, certificate of formation, articles of organization, limited liability company agreement, management agreement, operating agreement, shareholder agreement, partnership agreement or similar document or agreement governing such Person’s existence, organization or management or concerning the disposition of Equity Interests of such Person or voting rights among such Person’s owners.</w:t>
      </w:r>
    </w:p>
    <w:p>
      <w:pPr>
        <w:spacing w:after="0" w:line="98" w:lineRule="exact"/>
        <w:rPr>
          <w:sz w:val="20"/>
          <w:szCs w:val="20"/>
          <w:color w:val="auto"/>
        </w:rPr>
      </w:pPr>
    </w:p>
    <w:p>
      <w:pPr>
        <w:jc w:val="both"/>
        <w:ind w:firstLine="642"/>
        <w:spacing w:after="0" w:line="262" w:lineRule="auto"/>
        <w:rPr>
          <w:sz w:val="20"/>
          <w:szCs w:val="20"/>
          <w:color w:val="auto"/>
        </w:rPr>
      </w:pPr>
      <w:r>
        <w:rPr>
          <w:rFonts w:ascii="Times New Roman" w:cs="Times New Roman" w:eastAsia="Times New Roman" w:hAnsi="Times New Roman"/>
          <w:sz w:val="21"/>
          <w:szCs w:val="21"/>
          <w:color w:val="auto"/>
        </w:rPr>
        <w:t>“Contingent Obligation” of a Person means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any comfort letter, operating agreement, take-or-pay contract or the obligations of any such Person as general partner of a partnership with respect to the liabilities of the partnership.</w:t>
      </w:r>
    </w:p>
    <w:p>
      <w:pPr>
        <w:spacing w:after="0" w:line="1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“Conversion/Continuation Notice” is defined in Section 2.9.</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09" w:right="339"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21"/>
          <w:szCs w:val="21"/>
          <w:color w:val="auto"/>
        </w:rPr>
        <w:t>“Credit Extension” means the making of an Advance or the issuance of a Facility LC hereunder.</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“Covered Party” is defined in Section 9.16(a).</w:t>
      </w:r>
    </w:p>
    <w:p>
      <w:pPr>
        <w:spacing w:after="0" w:line="160" w:lineRule="exact"/>
        <w:rPr>
          <w:sz w:val="20"/>
          <w:szCs w:val="20"/>
          <w:color w:val="auto"/>
        </w:rPr>
      </w:pPr>
    </w:p>
    <w:p>
      <w:pPr>
        <w:jc w:val="both"/>
        <w:ind w:firstLine="642"/>
        <w:spacing w:after="0" w:line="261" w:lineRule="auto"/>
        <w:rPr>
          <w:sz w:val="20"/>
          <w:szCs w:val="20"/>
          <w:color w:val="auto"/>
        </w:rPr>
      </w:pPr>
      <w:r>
        <w:rPr>
          <w:rFonts w:ascii="Times New Roman" w:cs="Times New Roman" w:eastAsia="Times New Roman" w:hAnsi="Times New Roman"/>
          <w:sz w:val="21"/>
          <w:szCs w:val="21"/>
          <w:color w:val="auto"/>
        </w:rPr>
        <w:t>“Daily Simple SOFR” means for any day, an interest rate per annum equal to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05"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87" w:lineRule="exact"/>
        <w:rPr>
          <w:sz w:val="20"/>
          <w:szCs w:val="20"/>
          <w:color w:val="auto"/>
        </w:rPr>
      </w:pPr>
    </w:p>
    <w:p>
      <w:pPr>
        <w:jc w:val="both"/>
        <w:ind w:right="20" w:firstLine="642"/>
        <w:spacing w:after="0" w:line="289" w:lineRule="auto"/>
        <w:rPr>
          <w:sz w:val="20"/>
          <w:szCs w:val="20"/>
          <w:color w:val="auto"/>
        </w:rPr>
      </w:pPr>
      <w:r>
        <w:rPr>
          <w:rFonts w:ascii="Times New Roman" w:cs="Times New Roman" w:eastAsia="Times New Roman" w:hAnsi="Times New Roman"/>
          <w:sz w:val="21"/>
          <w:szCs w:val="21"/>
          <w:color w:val="auto"/>
        </w:rPr>
        <w:t>“Default” means an event which but for the lapse of time or the giving of notice, or both, would constitute an Event of Default.</w:t>
      </w:r>
    </w:p>
    <w:p>
      <w:pPr>
        <w:spacing w:after="0" w:line="74"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“Defaulting Lender” means, subject to Section 2.22(b), any Lender that (a) has failed to (i) fund all or any portion of its Loans within two (2) Business Days after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waived, or (ii) pay to the Administrative Agent, the LC Issuer, the Swing Line Lender or any other Lender any other amount required to be paid by it hereunder (including in respect of its participation in Facility LCs or Swing Line Loans) within two (2) Business Days after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(other than an Undisclosed Administration),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Lender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09" w:right="339" w:bottom="1440" w:gutter="0" w:footer="0" w:header="0"/>
        </w:sectPr>
      </w:pPr>
    </w:p>
    <w:bookmarkStart w:id="22" w:name="page23"/>
    <w:bookmarkEnd w:id="22"/>
    <w:p>
      <w:pPr>
        <w:jc w:val="both"/>
        <w:spacing w:after="0" w:line="259" w:lineRule="auto"/>
        <w:rPr>
          <w:sz w:val="20"/>
          <w:szCs w:val="20"/>
          <w:color w:val="auto"/>
        </w:rPr>
      </w:pPr>
      <w:r>
        <w:rPr>
          <w:rFonts w:ascii="Times New Roman" w:cs="Times New Roman" w:eastAsia="Times New Roman" w:hAnsi="Times New Roman"/>
          <w:sz w:val="21"/>
          <w:szCs w:val="21"/>
          <w:color w:val="auto"/>
        </w:rPr>
        <w:t>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2.22(b)) upon delivery of written notice of such determination to the Borrower, the LC Issuer, the Swing Line Lender and each Lender.</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“Determination Date” has the meaning provided in the definition of Term SOFR Screen Rate.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“Dollar” and “$” means the lawful currency of the United States of America.</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“Domestic Subsidiary” means a Subsidiary of the Borrower incorporated or organized under the laws of the United States of America, any state thereof or the District of Columbia.</w:t>
      </w:r>
    </w:p>
    <w:p>
      <w:pPr>
        <w:spacing w:after="0" w:line="7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“E-SIGN” means the Federal Electronic Signatures in Global and National Commerce Act, as amended from time to time, and any successor statute, and any regulations promulgated thereunder from time to time.</w:t>
      </w:r>
    </w:p>
    <w:p>
      <w:pPr>
        <w:spacing w:after="0" w:line="74" w:lineRule="exact"/>
        <w:rPr>
          <w:sz w:val="20"/>
          <w:szCs w:val="20"/>
          <w:color w:val="auto"/>
        </w:rPr>
      </w:pPr>
    </w:p>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“EEA Member Country” means any of the member states of the European Union, Iceland, Liechtenstein, and Norway.</w:t>
      </w:r>
    </w:p>
    <w:p>
      <w:pPr>
        <w:spacing w:after="0" w:line="146"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“Effective Date” means the date on which the conditions specified in Section 4.1 are satisfied.</w:t>
      </w:r>
    </w:p>
    <w:p>
      <w:pPr>
        <w:spacing w:after="0" w:line="146"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“Eligible Assignee” means any Person except a natural Person (or holding company, investment vehicle or trust for, or owned and operated for the primary benefit of a natural Person), the Borrower, any of the Borrower’s Affiliates or Subsidiaries or any Defaulting Lender or any of its Subsidiaries; provided, that such Person is in the business of making or purchasing commercial loans similar to the Loans.</w:t>
      </w:r>
    </w:p>
    <w:p>
      <w:pPr>
        <w:spacing w:after="0" w:line="9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“Environmental Laws” means any and all Laws relating to (i) the protection of the environment, (ii) personal injury or property damage relating to the release or discharge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09" w:right="339" w:bottom="1440" w:gutter="0" w:footer="0" w:header="0"/>
        </w:sectPr>
      </w:pPr>
    </w:p>
    <w:bookmarkStart w:id="23" w:name="page24"/>
    <w:bookmarkEnd w:id="23"/>
    <w:p>
      <w:pPr>
        <w:jc w:val="both"/>
        <w:spacing w:after="0" w:line="271" w:lineRule="auto"/>
        <w:rPr>
          <w:sz w:val="20"/>
          <w:szCs w:val="20"/>
          <w:color w:val="auto"/>
        </w:rPr>
      </w:pPr>
      <w:r>
        <w:rPr>
          <w:rFonts w:ascii="Times New Roman" w:cs="Times New Roman" w:eastAsia="Times New Roman" w:hAnsi="Times New Roman"/>
          <w:sz w:val="21"/>
          <w:szCs w:val="21"/>
          <w:color w:val="auto"/>
        </w:rPr>
        <w:t>Hazardous Materials, (iii) emissions, discharges or releases of pollutants, contaminants, hazardous substances or wastes into surface water, ground water or land, or (iv) the manufacture, processing, distribution, use, treatment, storage, disposal, transport or handling of pollutants, contaminants, hazardous substances or wastes or the clean-up or other remediation thereof.</w:t>
      </w:r>
    </w:p>
    <w:p>
      <w:pPr>
        <w:spacing w:after="0" w:line="91"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“Equity Interests” means all shares, interests or other equivalents, however designated, of or in a corporation, limited liability company, or partnership, whether or not voting, including common stock, member interests, partnership interests, warrants, preferred stock, convertible debentures, and all agreements, instruments and documents convertible, in whole or in part, into any one or more or all of the foregoing.</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“ERISA” means the Employee Retirement Income Security Act of 1974.</w:t>
      </w:r>
    </w:p>
    <w:p>
      <w:pPr>
        <w:spacing w:after="0" w:line="146"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“ERISA Affiliate”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87"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“ERISA Event” means (a) any “reportable event”, as defined in Section 4043 of ERISA or the regulations issued thereunder with respect to a Plan (other than an event for which the 30-day notice period is waived); (b) the failure with respect to any Plan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under Section 4201 of ERISA or a determination that a Multiemployer Plan is, or is expected to be, insolvent, within the meaning of Title IV of ERISA.</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“EU” means the European Union.</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“EU Bail-In Legislation Schedule” means the EU Bail-In Legislation Schedule published by the Loan Market Association (or any successor person), as in effect from time to time.</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“Event of Default” is defined in Article VII.</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“Excluded Margin Stock” means any shares of capital stock of the Borrower that constitute “margin stock” within the meaning of Regulation U of the Board of Governors of the Federal Reserve System and are held as treasury stock by the Borrower.</w:t>
      </w:r>
    </w:p>
    <w:p>
      <w:pPr>
        <w:spacing w:after="0" w:line="7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“Excluded Swap Obligation” means, with respect to any Guarantor, any Swap Obligation with respect to a Lender-Provided Swap if, and only to the extent that, all or a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09" w:right="339" w:bottom="1440" w:gutter="0" w:footer="0" w:header="0"/>
        </w:sectPr>
      </w:pPr>
    </w:p>
    <w:bookmarkStart w:id="24" w:name="page25"/>
    <w:bookmarkEnd w:id="24"/>
    <w:p>
      <w:pPr>
        <w:jc w:val="both"/>
        <w:spacing w:after="0" w:line="259" w:lineRule="auto"/>
        <w:rPr>
          <w:sz w:val="20"/>
          <w:szCs w:val="20"/>
          <w:color w:val="auto"/>
        </w:rPr>
      </w:pPr>
      <w:r>
        <w:rPr>
          <w:rFonts w:ascii="Times New Roman" w:cs="Times New Roman" w:eastAsia="Times New Roman" w:hAnsi="Times New Roman"/>
          <w:sz w:val="21"/>
          <w:szCs w:val="21"/>
          <w:color w:val="auto"/>
        </w:rPr>
        <w:t>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including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09"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“Excluded Taxes” means, in the case of each Lender or applicable Lending Installation, the LC Issuer, and the Administrative Agent, (i) Taxes imposed on its overall net income (however denominated), franchise Taxes, and branch profits Taxes (A) imposed on it, by the respective jurisdiction under the laws of which such Lender, the LC Issuer or the Administrative Agent is incorporated or is organized or in which its principal executive office is located or, in the case of a Lender, in which such Lender’s applicable Lending Installation is located or (B) that are Other Connection Taxes, (ii) in the case of a Lender, any U.S. federal withholding Tax that is imposed on amounts payable to such Lender pursuant to the laws in effect at the time such Lender becomes a party to this Agreement or designates a new Lending Installation, except in each case to the extent that, pursuant to Section 3.5(a), amounts with respect to such Taxes were payable either to such Lender’s assignor immediately before such Lender became a party hereto or to such Lender immediately before it changed its Lending Installation, (iii) Taxes attributable to the Lender’s failure to comply with Section 3.5(f), and (iv) any withholding Taxes imposed by FATCA.</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“Exhibit” refers to an exhibit to this Agreement, unless another document is specifically referenced.</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“Extended Termination Date” is defined in Section 2.24(a).</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“Extension” is defined in Section 2.24(a).</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“Extension Amendments” is defined in Section 2.24(e).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“Extension Offer” is defined in Section 2.24(a).</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“Existing Letters of Credit” means the letters of credit listed in Schedule 2.19.</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“Facility LC” is defined in Section 2.19(a)</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“Facility LC Application” is defined in Section 2.19(c).</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“Facility LC Collateral Account” is defined in Section 2.19(k).</w:t>
      </w:r>
    </w:p>
    <w:p>
      <w:pPr>
        <w:spacing w:after="0" w:line="160"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“Facility Termination Date” means March 25, 2031 or any later date as may be specified as the Facility Termination Date in accordance with Section 2.24 or any earlier date on which the Aggregate Commitment is reduced to zero or otherwise terminated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09" w:right="339" w:bottom="1440" w:gutter="0" w:footer="0" w:header="0"/>
        </w:sectPr>
      </w:pPr>
    </w:p>
    <w:bookmarkStart w:id="25" w:name="page26"/>
    <w:bookmarkEnd w:id="25"/>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98"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“Federal Funds Effective Rate” means, for any day, the greater of (a) zero percent (0.0%) and (b)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or, if such rate is not so published for any day which is a Business Day, the average of the quotations at approximately 10:00 a.m. (Central time) on such day on such transactions received by the Administrative Agent from three (3) Federal funds brokers of recognized standing selected by the Administrative Agent in its sole discretion.</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“Fee Letters” is defined in Section 10.13.</w:t>
      </w:r>
    </w:p>
    <w:p>
      <w:pPr>
        <w:spacing w:after="0" w:line="146" w:lineRule="exact"/>
        <w:rPr>
          <w:sz w:val="20"/>
          <w:szCs w:val="20"/>
          <w:color w:val="auto"/>
        </w:rPr>
      </w:pPr>
    </w:p>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“Finance Lease” of any Person shall mean, subject to Section 9.8, any lease of any real or personal property, or combination thereof, by that Person as lessee that would be categorized as a “finance lease” in accordance with FASB ASC 842 on a balance sheet of such Person under GAAP, and the “principal” amount of such obligations shall be the capitalized amount thereof determined in accordance with GAAP, provided that, for purposes of this Agreement, in no event shall any lease that would be categorized as an “operating lease” in accordance with FASB ASC 842 be considered a Finance Lease.</w:t>
      </w:r>
    </w:p>
    <w:p>
      <w:pPr>
        <w:spacing w:after="0" w:line="98"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“Finance Lease Obligations” shall mean, subject to Section 9.8 and as applied to any Person, the obligations of such Person under any Finance Lease that would be shown as a liability on the balance sheet of such Person in accordance with FASB ASC 842; provided that, for purposes of this Agreement, in no event shall any obligation of a Person under any lease that would be categorized as an “operating lease” in accordance with FASB ASC 842 be considered a Finance Lease Obligation.</w:t>
      </w:r>
    </w:p>
    <w:p>
      <w:pPr>
        <w:spacing w:after="0" w:line="81"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“Floor” means the benchmark rate floor, if any, provided in this Agreement initially (as of the execution of this Agreement, the modification, amendment or renewal of this Agreement or otherwise) with respect to the Adjusted Term SOFR Screen Rate.</w:t>
      </w:r>
    </w:p>
    <w:p>
      <w:pPr>
        <w:spacing w:after="0" w:line="48" w:lineRule="exact"/>
        <w:rPr>
          <w:sz w:val="20"/>
          <w:szCs w:val="20"/>
          <w:color w:val="auto"/>
        </w:rPr>
      </w:pPr>
    </w:p>
    <w:p>
      <w:pPr>
        <w:jc w:val="both"/>
        <w:ind w:firstLine="642"/>
        <w:spacing w:after="0" w:line="262" w:lineRule="auto"/>
        <w:rPr>
          <w:sz w:val="20"/>
          <w:szCs w:val="20"/>
          <w:color w:val="auto"/>
        </w:rPr>
      </w:pPr>
      <w:r>
        <w:rPr>
          <w:rFonts w:ascii="Times New Roman" w:cs="Times New Roman" w:eastAsia="Times New Roman" w:hAnsi="Times New Roman"/>
          <w:sz w:val="21"/>
          <w:szCs w:val="21"/>
          <w:color w:val="auto"/>
        </w:rPr>
        <w:t>“Fronting Exposure” means, at any time there is a Defaulting Lender, (a) with respect to the LC Issuer, such Defaulting Lender’s ratable share of the LC Obligations with respect to Facility LCs issued by the LC Issuer other than LC Obligations as to which such Defaulting Lender’s participation obligation has been reallocated to other Lenders or Cash Collateralized in accordance with the terms hereof, and (b) with respect to the Swing Line Lender, such Defaulting Lender’s ratable share of outstanding Swing Line Loans made by the Swing Line Lender other than Swing Line Loans as to which such Defaulting Lender’s participation obligation has been reallocated to other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09" w:right="339" w:bottom="1440" w:gutter="0" w:footer="0" w:header="0"/>
        </w:sectPr>
      </w:pPr>
    </w:p>
    <w:bookmarkStart w:id="26" w:name="page27"/>
    <w:bookmarkEnd w:id="26"/>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“Fund” means any Person (other than a natural Person or a holding company, investment vehicle or trust for, or owned and operated for the primary benefit of a natural Person) that is (or will be) engaged in making, purchasing, holding or otherwise investing in commercial loans and similar extensions of credit in the ordinary course of its business.</w:t>
      </w:r>
    </w:p>
    <w:p>
      <w:pPr>
        <w:spacing w:after="0" w:line="91" w:lineRule="exact"/>
        <w:rPr>
          <w:sz w:val="20"/>
          <w:szCs w:val="20"/>
          <w:color w:val="auto"/>
        </w:rPr>
      </w:pPr>
    </w:p>
    <w:p>
      <w:pPr>
        <w:jc w:val="both"/>
        <w:ind w:right="20" w:firstLine="642"/>
        <w:spacing w:after="0" w:line="289" w:lineRule="auto"/>
        <w:rPr>
          <w:sz w:val="20"/>
          <w:szCs w:val="20"/>
          <w:color w:val="auto"/>
        </w:rPr>
      </w:pPr>
      <w:r>
        <w:rPr>
          <w:rFonts w:ascii="Times New Roman" w:cs="Times New Roman" w:eastAsia="Times New Roman" w:hAnsi="Times New Roman"/>
          <w:sz w:val="21"/>
          <w:szCs w:val="21"/>
          <w:color w:val="auto"/>
        </w:rPr>
        <w:t>“GAAP” means generally accepted accounting principles as in effect from time to time in the United States, applied in a manner consistent with that used in preparing the financial statements referred to in Section 5.4, subject at all times to Section 9.8.</w:t>
      </w:r>
    </w:p>
    <w:p>
      <w:pPr>
        <w:spacing w:after="0" w:line="74"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“Governmental Authority”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08"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“Guarantor” means each Material Domestic Subsidiary that is a party to the Guaranty, either on the date hereof or pursuant to the terms of Section 6.21, and their respective successors and assigns.</w:t>
      </w:r>
    </w:p>
    <w:p>
      <w:pPr>
        <w:spacing w:after="0" w:line="7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“Guaranty” means that certain Guaranty, dated as of March 25, 2026, executed by each of the Guarantors in favor of the Administrative Agent, for the ratable benefit of the Lenders.</w:t>
      </w:r>
    </w:p>
    <w:p>
      <w:pPr>
        <w:spacing w:after="0" w:line="74"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“Hazardous Material” means any explosive or radioactive substances or wastes, any hazardous or toxic substances, wastes or other pollutants, including petroleum or petroleum distillates, asbestos or asbestos containing materials, polychlorinated biphenyls, radon gas, infectious or medical wastes and any other substances or wastes of any nature regulated pursuant to any Environmental Law.</w:t>
      </w:r>
    </w:p>
    <w:p>
      <w:pPr>
        <w:spacing w:after="0" w:line="9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“Highest Lawful Rate” means, on any day, the maximum non-usurious rate of interest permitted for that day by applicable federal or state law stated as a rate per annum.</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“Increased Revolving Commitments” is defined in Section 2.25.</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“Increasing Lender” is defined in Section 2.25.</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“Incremental Amendment” is defined in Section 2.25.</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“Incremental Increases” is defined in Section 2.25.</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“Incremental Revolving Commitments” is defined in Section 2.25.</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“Incremental Term Loan Commitments” is defined in Section 2.25.</w:t>
      </w:r>
    </w:p>
    <w:p>
      <w:pPr>
        <w:spacing w:after="0" w:line="160"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“Indebtedness” of a Person means such Person’s (i) obligations for borrowed money (including the Obligations under this Agreement and the other Loan Documents), (ii) obligations representing the deferred purchase price of Property or services (other than accounts payable arising in the ordinary course of such Person’s business payable on terms customary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09"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21"/>
          <w:szCs w:val="21"/>
          <w:color w:val="auto"/>
        </w:rPr>
        <w:t>trade); provided, however, earn-out obligations incurred in connection with Acquisitions shall not be deemed to be “Indebtedness” unless such obligations remain unpaid more than 60 days after such obligations become payable, (iii) all Indebtedness of others, whether or not assumed, secured by (or for which the holder of such Indebtedness has an existing right, contingent or otherwise, to be secured by) any Lien on Property now or hereafter owned or acquired by such Person; provided, however, that the amount of such Indebtedness shall be limited to lesser of the outstanding principal balance of such Indebtedness or the fair market value of the Property of such Person securing or supporting such Indebtedness, (iv) obligations which are evidenced by notes, acceptances, or other instruments, (v) obligations to purchase securities or other Property arising out of or in connection with the sale of the same or substantially similar securities or Property, (vi) Finance Lease Obligations, (vii) obligations as an account party with respect to standby and commercial letters of credit, (viii) Contingent Obligations of such Person with respect to Indebtedness of another Person of the type specified in clauses (i) through (vi) or (viii) of this definition of “Indebtedness”, and (ix) for purposes of Section 6.11 only, Net Mark-to-Market Exposure under Swap Obligations, excluding any portion thereof which would be accounted for as interest expense under GAAP or that is a Lender-Provided Swap.</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“Indemnified Party” is defined in Section 9.6(b).</w:t>
      </w:r>
    </w:p>
    <w:p>
      <w:pPr>
        <w:spacing w:after="0" w:line="160"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“Indemnified Taxes” means (a) Taxes imposed on or with respect to any payment made by or on account of any obligation of any Loan Party under any Loan Document, other than Excluded Taxes and (b) to the extent not otherwise described in (a), Other Taxes.</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“Interest Differential” is defined in Section 3.4.</w:t>
      </w:r>
    </w:p>
    <w:p>
      <w:pPr>
        <w:spacing w:after="0" w:line="160"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 xml:space="preserve">“Interest Period” means, with respect to a Term SOFR Advance, a period of one, three or six months (in each case, subject to the availability thereof) commencing on a Business Day selected by the Borrower pursuant to this Agreement and ending on the day that corresponds numerically to such date one, three or six months thereafter;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91" w:lineRule="exact"/>
        <w:rPr>
          <w:sz w:val="20"/>
          <w:szCs w:val="20"/>
          <w:color w:val="auto"/>
        </w:rPr>
      </w:pPr>
    </w:p>
    <w:p>
      <w:pPr>
        <w:jc w:val="both"/>
        <w:ind w:left="1300" w:hanging="9"/>
        <w:spacing w:after="0" w:line="271" w:lineRule="auto"/>
        <w:tabs>
          <w:tab w:leader="none" w:pos="177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would otherwise end on a day that is not a Business Day shall be extended to the next succeeding Business Day unless such succeeding Business Day falls in a new calendar month, in which case such Interest Period shall end on the immediately preceding Business Day;</w:t>
      </w:r>
    </w:p>
    <w:p>
      <w:pPr>
        <w:spacing w:after="0" w:line="200" w:lineRule="exact"/>
        <w:rPr>
          <w:rFonts w:ascii="Times New Roman" w:cs="Times New Roman" w:eastAsia="Times New Roman" w:hAnsi="Times New Roman"/>
          <w:sz w:val="21"/>
          <w:szCs w:val="21"/>
          <w:color w:val="auto"/>
        </w:rPr>
      </w:pPr>
    </w:p>
    <w:p>
      <w:pPr>
        <w:spacing w:after="0" w:line="279" w:lineRule="exact"/>
        <w:rPr>
          <w:rFonts w:ascii="Times New Roman" w:cs="Times New Roman" w:eastAsia="Times New Roman" w:hAnsi="Times New Roman"/>
          <w:sz w:val="21"/>
          <w:szCs w:val="21"/>
          <w:color w:val="auto"/>
        </w:rPr>
      </w:pPr>
    </w:p>
    <w:p>
      <w:pPr>
        <w:jc w:val="both"/>
        <w:ind w:left="1300" w:hanging="9"/>
        <w:spacing w:after="0" w:line="271" w:lineRule="auto"/>
        <w:tabs>
          <w:tab w:leader="none" w:pos="177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commences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200" w:lineRule="exact"/>
        <w:rPr>
          <w:rFonts w:ascii="Times New Roman" w:cs="Times New Roman" w:eastAsia="Times New Roman" w:hAnsi="Times New Roman"/>
          <w:sz w:val="21"/>
          <w:szCs w:val="21"/>
          <w:color w:val="auto"/>
        </w:rPr>
      </w:pPr>
    </w:p>
    <w:p>
      <w:pPr>
        <w:spacing w:after="0" w:line="279" w:lineRule="exact"/>
        <w:rPr>
          <w:rFonts w:ascii="Times New Roman" w:cs="Times New Roman" w:eastAsia="Times New Roman" w:hAnsi="Times New Roman"/>
          <w:sz w:val="21"/>
          <w:szCs w:val="21"/>
          <w:color w:val="auto"/>
        </w:rPr>
      </w:pPr>
    </w:p>
    <w:p>
      <w:pPr>
        <w:ind w:left="1740" w:hanging="449"/>
        <w:spacing w:after="0"/>
        <w:tabs>
          <w:tab w:leader="none" w:pos="17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Interest Period shall extend beyond the Facility Termination Date; and</w:t>
      </w:r>
    </w:p>
    <w:p>
      <w:pPr>
        <w:spacing w:after="0" w:line="200" w:lineRule="exact"/>
        <w:rPr>
          <w:rFonts w:ascii="Times New Roman" w:cs="Times New Roman" w:eastAsia="Times New Roman" w:hAnsi="Times New Roman"/>
          <w:sz w:val="21"/>
          <w:szCs w:val="21"/>
          <w:color w:val="auto"/>
        </w:rPr>
      </w:pPr>
    </w:p>
    <w:p>
      <w:pPr>
        <w:spacing w:after="0" w:line="334" w:lineRule="exact"/>
        <w:rPr>
          <w:rFonts w:ascii="Times New Roman" w:cs="Times New Roman" w:eastAsia="Times New Roman" w:hAnsi="Times New Roman"/>
          <w:sz w:val="21"/>
          <w:szCs w:val="21"/>
          <w:color w:val="auto"/>
        </w:rPr>
      </w:pPr>
    </w:p>
    <w:p>
      <w:pPr>
        <w:ind w:left="1300" w:hanging="9"/>
        <w:spacing w:after="0" w:line="289" w:lineRule="auto"/>
        <w:tabs>
          <w:tab w:leader="none" w:pos="1799"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tenor that has been removed from this definition pursuant to Section 3.3(b) may be available for selection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409" w:right="339" w:bottom="1440" w:gutter="0" w:footer="0" w:header="0"/>
        </w:sectPr>
      </w:pPr>
    </w:p>
    <w:bookmarkStart w:id="28" w:name="page29"/>
    <w:bookmarkEnd w:id="28"/>
    <w:p>
      <w:pPr>
        <w:spacing w:after="0" w:line="358" w:lineRule="exact"/>
        <w:rPr>
          <w:sz w:val="20"/>
          <w:szCs w:val="20"/>
          <w:color w:val="auto"/>
        </w:rPr>
      </w:pPr>
    </w:p>
    <w:p>
      <w:pPr>
        <w:jc w:val="both"/>
        <w:ind w:firstLine="642"/>
        <w:spacing w:after="0" w:line="262" w:lineRule="auto"/>
        <w:rPr>
          <w:sz w:val="20"/>
          <w:szCs w:val="20"/>
          <w:color w:val="auto"/>
        </w:rPr>
      </w:pPr>
      <w:r>
        <w:rPr>
          <w:rFonts w:ascii="Times New Roman" w:cs="Times New Roman" w:eastAsia="Times New Roman" w:hAnsi="Times New Roman"/>
          <w:sz w:val="21"/>
          <w:szCs w:val="21"/>
          <w:color w:val="auto"/>
        </w:rPr>
        <w:t>“Investment” of a Person means (a) any loan, advance (other than commission, travel and similar advances to directors, officers and employees made in the ordinary course of business), extension of credit (other than accounts receivable arising in the ordinary course of business on terms customary in the trade and endorsements of checks for collection or deposit) or contribution of capital by such Person; (b) Equity Interests, bonds, mutual funds, notes, debentures or other securities (including warrants or options to purchase securities) owned by such Person; (c) any deposit accounts and certificate of deposit owned by such Person; and (d) structured notes, derivative financial instruments and other similar instruments or contracts owned by such Person.</w:t>
      </w:r>
    </w:p>
    <w:p>
      <w:pPr>
        <w:spacing w:after="0" w:line="90"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“ISP” means the International Standby Practices, International Chamber of Commerce Publication No. 590 (or such later version thereof as may be in effect at the applicable time).</w:t>
      </w:r>
    </w:p>
    <w:p>
      <w:pPr>
        <w:spacing w:after="0" w:line="48" w:lineRule="exact"/>
        <w:rPr>
          <w:sz w:val="20"/>
          <w:szCs w:val="20"/>
          <w:color w:val="auto"/>
        </w:rPr>
      </w:pPr>
    </w:p>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“Laws”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“LC Fee” is defined in Section 2.19(d).</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“LC Issuer” means U.S. Bank (or any subsidiary or affiliate of U.S. Bank designated by U.S. Bank) in its capacity as issuer of Facility LCs hereunder.</w:t>
      </w:r>
    </w:p>
    <w:p>
      <w:pPr>
        <w:spacing w:after="0" w:line="74"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“LC Obligations” means, at any time, the sum, without duplication, of (i) the aggregate undrawn stated amount under all Facility LCs outstanding at such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the aggregate unpaid amount at such time of all Reimbursement Obligations. For all purposes of this Agreement, if on any date of determination a Facility LC has expired by its terms but any amount may still be drawn thereunder by reason of the operation of Article 29(a) of the UCP, Rule 3.13 or 3.14 of the ISP, or similar terms in the governing rules or laws or of the Facility LC itself, or if compliant documents have been presented but not yet honored, such Facility LC shall be deemed to be “outstanding” and “undrawn” in the amount so remaining available to be paid, and the obligations of the Borrower and each Lender shall remain in full force and effect until the LC Issuer and the Lenders have no further obligations to make any payments or disbursements under any circumstances with respect to such Facility LC.</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“LC Payment Date” is defined in Section 2.19(e).</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“Lender-Provided Swap” means a Swap which is provided to the Borrower or any Subsidiary by the Administrative Agent, the LC Issuer, any other Lender or any Affiliate thereof (in each case, at the time such Swap is entered into).</w:t>
      </w:r>
    </w:p>
    <w:p>
      <w:pPr>
        <w:spacing w:after="0" w:line="7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“Lenders” means the lending institutions listed on the signature pages of this Agreement and their respective successors and assigns. Unless otherwise specified, the term “Lenders” includes U.S. Bank in its capacity as Swing 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29" w:name="page30"/>
    <w:bookmarkEnd w:id="29"/>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“Lending Installation” means, with respect to a Lender or the Administrative Agent, the office, branch, subsidiary or affiliate of such Lender or the Administrative Agent listed on the signature pages hereof (in the case of the Administrative Agent) or on its Administrative Questionnaire (in the case of a Lender) or otherwise selected by such Lender or the Administrative Agent pursuant to Section 2.17.</w:t>
      </w:r>
    </w:p>
    <w:p>
      <w:pPr>
        <w:spacing w:after="0" w:line="81"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“Lien” means any lien (statutory or other), mortgage, pledge, hypothecation, assignment, deposit arrangement, encumbrance or preference, priority or other security agreement or preferential arrangement of any kind or nature whatsoever (including the interest of a vendor or lessor under any conditional sale, Finance Lease or other title retention agreement).</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“Loan” means a Revolving Loan or a Swing Line Loan.</w:t>
      </w:r>
    </w:p>
    <w:p>
      <w:pPr>
        <w:spacing w:after="0" w:line="146"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“Loan Documents” means this Agreement, the Facility LC Applications, the Guaranty, any Note or Notes executed by the Borrower in connection with this Agreement and payable to a Lender, and any other document or agreement, now or in the future, executed by the Borrower for the benefit of the Administrative Agent or any Lender in connection with this Agreement.</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“Loan Party” or “Loan Parties” means, individually or collectively, the Borrower and the Guarantors.</w:t>
      </w:r>
    </w:p>
    <w:p>
      <w:pPr>
        <w:spacing w:after="0" w:line="160" w:lineRule="exact"/>
        <w:rPr>
          <w:sz w:val="20"/>
          <w:szCs w:val="20"/>
          <w:color w:val="auto"/>
        </w:rPr>
      </w:pPr>
    </w:p>
    <w:p>
      <w:pPr>
        <w:jc w:val="both"/>
        <w:ind w:firstLine="642"/>
        <w:spacing w:after="0" w:line="261" w:lineRule="auto"/>
        <w:rPr>
          <w:sz w:val="20"/>
          <w:szCs w:val="20"/>
          <w:color w:val="auto"/>
        </w:rPr>
      </w:pPr>
      <w:r>
        <w:rPr>
          <w:rFonts w:ascii="Times New Roman" w:cs="Times New Roman" w:eastAsia="Times New Roman" w:hAnsi="Times New Roman"/>
          <w:sz w:val="21"/>
          <w:szCs w:val="21"/>
          <w:color w:val="auto"/>
        </w:rPr>
        <w:t>“Material Adverse Effect” means a material adverse effect on (i) the business, Property, liabilities (actual and contingent), operations or condition (financial or otherwise), or results of operations, of the Borrower and its Subsidiaries taken as a whole, (ii) the ability of the Borrower or any Guarantor to perform its obligations under the Loan Documents to which it is a party, or (iii) the validity or enforceability of any of the Loan Documents or the rights or remedies of the Administrative Agent, the LC Issuer or the Lenders under the Loan Documents.</w:t>
      </w:r>
    </w:p>
    <w:p>
      <w:pPr>
        <w:spacing w:after="0" w:line="105"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“Material Domestic Subsidiary” means each Domestic Subsidiary (i) which, as of the most recent fiscal quarter of the Borrower, for the period of four (4) consecutive fiscal quarters then ended, for which financial statements have been delivered pursuant to Section 6.1, contributed greater than 5% of the Borrower’s Consolidated EBITDA for such period or (ii) which had consolidated assets greater than 5% of the Borrower’s Consolidated Total Assets as of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at any time the aggregate amount contributed to the Consolidated EBITDA by all Subsidiaries that are not Material Domestic Subsidiaries exceeds 10% of the Borrower’s Consolidated EBITDA for any such period, or the aggregate total consolidated assets of all Subsidiaries that are not Material Domestic Subsidiaries exceeds 10% of the Borrower’s Consolidated Total Assets as of the end of any such fiscal quarter, the Borrower (or, in the event the Borrower has failed to do so within ten (10) days, the Administrative Agent) shall designate sufficient Subsidiaries as “Material Domestic Subsidiaries” to eliminate such excess, and such designated Subsidiaries shall for all purposes of this Agreement constitute Material Domestic Subsidiaries.</w:t>
      </w:r>
    </w:p>
    <w:p>
      <w:pPr>
        <w:spacing w:after="0" w:line="109"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“Material Indebtedness” means any Indebtedness of the Borrower or any Subsidiary in an outstanding principal amount equal to or greater than, in the aggregate, 5% of Consolidated Net Worth for the Borrower and its Subsidiaries based on the financial statements most recently delivered pursuant to Section 6.1(a) or 6.1(b) (or, prior to the delivery of any such financial statements, the most recent financial statements referred to in Section 5.4),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409" w:right="339" w:bottom="1440" w:gutter="0" w:footer="0" w:header="0"/>
        </w:sectPr>
      </w:pPr>
    </w:p>
    <w:bookmarkStart w:id="30" w:name="page31"/>
    <w:bookmarkEnd w:id="30"/>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“Material Indebtedness Agreement” means any agreement under which any Material Indebtedness was created or is governed or which provides for the incurrence of Indebtedness in an amount which would constitute Material Indebtedness (whether or not an amount of Indebtedness constituting Material Indebtedness is outstanding thereunder).</w:t>
      </w:r>
    </w:p>
    <w:p>
      <w:pPr>
        <w:spacing w:after="0" w:line="91"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“Minimum Collateral Amount” means, with respect to a Defaulting Lender, at any time, (i) with respect to Cash Collateral consisting of cash or deposit account balances, an amount equal to 105% of the Fronting Exposure of the LC Issuer with respect to such Defaulting Lender for all Facility LCs issued and outstanding at such time and (ii) otherwise, an amount determined by the Administrative Agent and the LC Issuer in their sole discretion.</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“Minimum Extension Condition” is defined in Section 2.24(d).</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“Modify” and “Modification” are defined in Section 2.19(a).</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“Moody’s” means Moody’s Investors Service, Inc.</w:t>
      </w:r>
    </w:p>
    <w:p>
      <w:pPr>
        <w:spacing w:after="0" w:line="160"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“Multiemployer Plan” means a Plan maintained pursuant to a collective bargaining agreement or any other arrangement to which the Borrower or any ERISA Affiliate is, or in the immediately preceding six years was, a party to which more than one employer is obligated to make contributions.</w:t>
      </w:r>
    </w:p>
    <w:p>
      <w:pPr>
        <w:spacing w:after="0" w:line="73"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“Net Leverage Ratio” means, as of any date of calculation, the ratio of (i) the excess of (x) Consolidated Funded Indebtedness outstanding on such date over (y) the lesser of $150,000,000 and the Borrower’s and its Subsidiaries’ unrestricted and unencumbered cash and cash equivalents as reported by the Borrower in its financial statements most recently delivered to the Administrative Agent hereunder to (ii) Consolidated EBITDA for the Borrower’s then most-recently ended four (4) fiscal quarters.</w:t>
      </w:r>
    </w:p>
    <w:p>
      <w:pPr>
        <w:spacing w:after="0" w:line="94" w:lineRule="exact"/>
        <w:rPr>
          <w:sz w:val="20"/>
          <w:szCs w:val="20"/>
          <w:color w:val="auto"/>
        </w:rPr>
      </w:pPr>
    </w:p>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“Net Mark-to-Market Exposure” of a Person means, as of any date of determination, the excess (if any) of all unrealized losses over all unrealized profits of such Person arising from a Swap Obligation. “Unrealized losses” means the fair market value of the cost to such Person of replacing such Swap Obligation as of the date of determination (assuming the Swap Obligation were to be terminated as of that date), and “unrealized profits” means the fair market value of the gain to such Person of replacing such Swap Obligation as of the date of determination (assuming such Swap Obligation were to be terminated as of that date).</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“Non-Defaulting Lender” means, at any time, each Lender that is not a Defaulting Lender at such time.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“Non-U.S. Lender” means a Lender that is not a United States person as defined in Section 7701(a)(30) of the Code.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“Note” is defined in Section 2.13(d).</w:t>
      </w:r>
    </w:p>
    <w:p>
      <w:pPr>
        <w:spacing w:after="0" w:line="160"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“Obligations” means all unpaid principal of and accrued and unpaid interest on the Loans, all LC Obligations, all obligations in connection with Cash Management Services, all obligations in connection with Lender-Provided Swaps, all accrued and unpaid fees, and all expenses, reimbursements, indemnities and other obligations of the Borrower to the Lenders or to any Lender, the Administrative Agent, the LC Issuer or any indemnified party arising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09" w:right="339" w:bottom="1440" w:gutter="0" w:footer="0" w:header="0"/>
        </w:sectPr>
      </w:pPr>
    </w:p>
    <w:bookmarkStart w:id="31" w:name="page32"/>
    <w:bookmarkEnd w:id="31"/>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the Loan Documents (including interest and fees accruing during the pendency of any bankruptcy, insolvency, receivership or other similar proceeding, regardless of whether allowed or allowable in such proceeding);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obligations in respect of Cash Management Services and Lender-Provided Swaps shall only constitute “Obligations” if owed to (i) U.S. Bank or one of its Affiliates or (ii) a Lender or an Affiliate of a Lender if the Administrative Agent shall have received notice in the form of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from the relevant Lender not later than sixty (60) days after such Cash Management Services or Lender-Provided Swaps have been provided and the relevant Lender has provided such supporting documentation as the Administrative Agent may reasonably request;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“Obligations” shall exclude all Excluded Swap Obligations. Without limiting the foregoing, the Obligations include (a) Erroneous Payment subrogation rights and (b) the obligation of the Borrower to reimburse any amount in respect of any of the foregoing that the Administrative Agent, any Lender or the LC Issuer, in each case in its sole discretion, may elect to pay or advance on behalf of the Borrower.</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“OFAC” means the U.S. Department of the Treasury’s Office of Foreign Assets Control, and any successor thereto.</w:t>
      </w:r>
    </w:p>
    <w:p>
      <w:pPr>
        <w:spacing w:after="0" w:line="146" w:lineRule="exact"/>
        <w:rPr>
          <w:sz w:val="20"/>
          <w:szCs w:val="20"/>
          <w:color w:val="auto"/>
        </w:rPr>
      </w:pPr>
    </w:p>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“Other Connection Taxes” means in the case of each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98"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81"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“Outbound Investment Rules” means the regulations administered and enforced, together with any related public guidance issued, by the United States Treasury Department under U.S. Executive Order 14105 of August 9, 2023, or any similar law or regulation; as of the Effective Date, and as codified at 31 C.F.R. § 850.101 et seq.</w:t>
      </w:r>
    </w:p>
    <w:p>
      <w:pPr>
        <w:spacing w:after="0" w:line="87"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 xml:space="preserve">“Outstanding Credit Exposure” means, as to any Lender at any time, the sum of (i) the aggregate principal amount of its Revolving Loans outstanding at such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an amount equal to its Pro Rata Share of the aggregate principal amount of Swing Line Loans outstanding at such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(iii) an amount equal to its Pro Rata Share of the LC Obligations at such time.</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“Participant” is defined in Section 12.2(a).</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“Participant Register” is defined in Section 12.2(c).</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“PATRIOT Act” means the USA PATRIOT Act (Title III of Pub. L. 107-56 (signed into law October 26, 2001)).</w:t>
      </w:r>
    </w:p>
    <w:p>
      <w:pPr>
        <w:spacing w:after="0" w:line="142" w:lineRule="exact"/>
        <w:rPr>
          <w:sz w:val="20"/>
          <w:szCs w:val="20"/>
          <w:color w:val="auto"/>
        </w:rPr>
      </w:pPr>
    </w:p>
    <w:p>
      <w:pPr>
        <w:jc w:val="both"/>
        <w:ind w:firstLine="642"/>
        <w:spacing w:after="0" w:line="306" w:lineRule="auto"/>
        <w:rPr>
          <w:sz w:val="20"/>
          <w:szCs w:val="20"/>
          <w:color w:val="auto"/>
        </w:rPr>
      </w:pPr>
      <w:r>
        <w:rPr>
          <w:rFonts w:ascii="Times New Roman" w:cs="Times New Roman" w:eastAsia="Times New Roman" w:hAnsi="Times New Roman"/>
          <w:sz w:val="21"/>
          <w:szCs w:val="21"/>
          <w:color w:val="auto"/>
        </w:rPr>
        <w:t xml:space="preserve">“Payment Date” means the last day of each calendar quarter,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such day is not a Business Day, the Payment Date shall be the immediately succeeding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09" w:right="339"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21"/>
          <w:szCs w:val="21"/>
          <w:color w:val="auto"/>
        </w:rPr>
        <w:t>“Payment Notice” is defined in Section 2.7.</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“PBGC” means the Pension Benefit Guaranty Corporation, or any successor thereto.</w:t>
      </w:r>
    </w:p>
    <w:p>
      <w:pPr>
        <w:spacing w:after="0" w:line="156"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“Permitted Acquisition” means any Acquisition made by the Borrower or any of its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as of the date of the consummation of such Acquisition, no Default or Event of Default shall have occurred and be continuing or would result after giving effect to such Acquisition, and the representation and warranty contained in Section 5.11 shall be true both before and after giving effect to such Acquisition, (b) such Acquisition is consummated on a non-hostile basis pursuant to a negotiated acquisition agreement that has been (if required by the governing documents of the seller or entity to be acquired)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 (c) the business to be acquired in such Acquisition is in the same line of business as the Borrower’s or a line of business similar or reasonably related, incidental, ancillary or complementary thereto, or a reasonable extension, development or expansion thereof, (d) as of the date of the consummation of such Acquisition, all material approvals required in connection therewith shall have been obtained, and (e) for any Acquisition where total consideration equals or exceeds the greater of (i) $300,000,000 or (ii) 10% of Consolidated Total Assets, the Borrower shall have furnished to the Administrative Agent a certificate demonstrating in reasonable detail pro forma compliance with the financial covenants contained in Section 6.20 for such period, in each case, calculated as if such Acquisition, including the consideration therefor, had been consummated on the first day of such period.</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“Permitted Liens” means the Liens permitted pursuant to Section 6.16.</w:t>
      </w:r>
    </w:p>
    <w:p>
      <w:pPr>
        <w:spacing w:after="0" w:line="160"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“Person(s)” means any natural person, corporation, firm, joint venture, partnership, limited liability company, association, enterprise, trust or other entity or organization, or any government or political subdivision or any agency, department or instrumentality thereof.</w:t>
      </w:r>
    </w:p>
    <w:p>
      <w:pPr>
        <w:spacing w:after="0" w:line="91"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“Plan” means an employee pension benefit plan which is covered by Title IV of ERISA or subject to the minimum funding standards under Section 412 of the Code or Section 302 of ERISA as to which the Borrower or any ERISA Affiliate may have any liability.</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“Platform” means Debt Domain, Intralinks, Syndtrak, Debticate or a substantially similar electronic transmission system.</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“Prime Rate” means a rate per annum equal to the prime rate of interest announced from time to time by U.S. Bank or its parent (which is not necessarily the lowest rate charged to any customer), changing when and as said prime rate changes.</w:t>
      </w:r>
    </w:p>
    <w:p>
      <w:pPr>
        <w:spacing w:after="0" w:line="74" w:lineRule="exact"/>
        <w:rPr>
          <w:sz w:val="20"/>
          <w:szCs w:val="20"/>
          <w:color w:val="auto"/>
        </w:rPr>
      </w:pPr>
    </w:p>
    <w:p>
      <w:pPr>
        <w:jc w:val="both"/>
        <w:ind w:right="20" w:firstLine="642"/>
        <w:spacing w:after="0" w:line="302" w:lineRule="auto"/>
        <w:rPr>
          <w:sz w:val="20"/>
          <w:szCs w:val="20"/>
          <w:color w:val="auto"/>
        </w:rPr>
      </w:pPr>
      <w:r>
        <w:rPr>
          <w:rFonts w:ascii="Times New Roman" w:cs="Times New Roman" w:eastAsia="Times New Roman" w:hAnsi="Times New Roman"/>
          <w:sz w:val="21"/>
          <w:szCs w:val="21"/>
          <w:color w:val="auto"/>
        </w:rPr>
        <w:t>“Prior Credit Agreement” means the Amended and Restated Credit Agreement, dated as of August 31, 2022 (as amended or modified prior to the date hereof), by and among the Borrower, the lenders party thereto, and U.S. Bank as administrative agent.</w:t>
      </w:r>
    </w:p>
    <w:p>
      <w:pPr>
        <w:spacing w:after="0" w:line="48"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“Property” of a Person means any and all property, whether real, personal, tangible, intangible, or mixed, of such Person, or other assets owned, leased or operated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09" w:right="339" w:bottom="1440" w:gutter="0" w:footer="0" w:header="0"/>
        </w:sectPr>
      </w:pPr>
    </w:p>
    <w:bookmarkStart w:id="33" w:name="page34"/>
    <w:bookmarkEnd w:id="33"/>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 xml:space="preserve">“Pro Rata Share” means, with respect to a Lender, a portion equal to a fraction the numerator of which is such Lender’s Commitment and the denominator of which is the Aggregate Commitment,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if all of the Commitments are terminated pursuant to the terms of this Agreement, then “Pro Rata Share” means the percentage obtained by dividing (a) such Lender’s Outstanding Credit Exposure at such time by (b) the Aggregate Outstanding Credit Exposure at such time;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when a Defaulting Lender shall exist, “Pro Rata Share” shall mean the percentage of the Aggregate Commitment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(disregarding any Defaulting Lender’s Commitment) represented by such Lender’s Commitment (except that no Lender is required to fund or participate in Revolving Loans, Swing Line Loans or Facility LCs to the extent that, after giving effect thereto, the aggregate amount of its outstanding Revolving Loans and funded or unfunded participations in Swing Line Loans and Facility LCs would exceed the amount of its Commitment (determined as though no Defaulting Lender existed)).</w:t>
      </w:r>
    </w:p>
    <w:p>
      <w:pPr>
        <w:spacing w:after="0" w:line="93"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“PTE” means a prohibited transaction class exemption issued by the U.S. Department of Labor, as any such exemption may be amended from time to time.</w:t>
      </w:r>
    </w:p>
    <w:p>
      <w:pPr>
        <w:spacing w:after="0" w:line="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“Purchasers” is defined in Section 12.3(a).</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“QFC Credit Support” is defined in Section 9.16.</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“Recipient” means (a) the Administrative Agent, (b) any Lender or (c) the LC Issuer, as applicable.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“Reference Period” has the meaning set forth in the definition of “Consolidated EBITDA”.</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“Reference Time” means the time determined by the Administrative Agent in its reasonable discretion.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“Register” is defined in Section 12.3(d).</w:t>
      </w:r>
    </w:p>
    <w:p>
      <w:pPr>
        <w:spacing w:after="0" w:line="146" w:lineRule="exact"/>
        <w:rPr>
          <w:sz w:val="20"/>
          <w:szCs w:val="20"/>
          <w:color w:val="auto"/>
        </w:rPr>
      </w:pPr>
    </w:p>
    <w:p>
      <w:pPr>
        <w:jc w:val="both"/>
        <w:ind w:right="20" w:firstLine="642"/>
        <w:spacing w:after="0" w:line="277" w:lineRule="auto"/>
        <w:rPr>
          <w:sz w:val="20"/>
          <w:szCs w:val="20"/>
          <w:color w:val="auto"/>
        </w:rPr>
      </w:pPr>
      <w:r>
        <w:rPr>
          <w:rFonts w:ascii="Times New Roman" w:cs="Times New Roman" w:eastAsia="Times New Roman" w:hAnsi="Times New Roman"/>
          <w:sz w:val="21"/>
          <w:szCs w:val="21"/>
          <w:color w:val="auto"/>
        </w:rPr>
        <w:t>“Regulation D”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87" w:lineRule="exact"/>
        <w:rPr>
          <w:sz w:val="20"/>
          <w:szCs w:val="20"/>
          <w:color w:val="auto"/>
        </w:rPr>
      </w:pPr>
    </w:p>
    <w:p>
      <w:pPr>
        <w:jc w:val="both"/>
        <w:ind w:right="20" w:firstLine="642"/>
        <w:spacing w:after="0" w:line="271" w:lineRule="auto"/>
        <w:rPr>
          <w:sz w:val="20"/>
          <w:szCs w:val="20"/>
          <w:color w:val="auto"/>
        </w:rPr>
      </w:pPr>
      <w:r>
        <w:rPr>
          <w:rFonts w:ascii="Times New Roman" w:cs="Times New Roman" w:eastAsia="Times New Roman" w:hAnsi="Times New Roman"/>
          <w:sz w:val="21"/>
          <w:szCs w:val="21"/>
          <w:color w:val="auto"/>
        </w:rPr>
        <w:t>“Regulation U”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stocks applicable to member banks of the Federal Reserve System.</w:t>
      </w:r>
    </w:p>
    <w:p>
      <w:pPr>
        <w:spacing w:after="0" w:line="91"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“Reimbursement Obligations” means, at any time, the aggregate of all obligations of the Borrower then outstanding under Section 2.19 to reimburse the LC Issuer for amounts paid by the LC Issuer in respect of any one or more drawings under Facility LCs.</w:t>
      </w:r>
    </w:p>
    <w:p>
      <w:pPr>
        <w:spacing w:after="0" w:line="91"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“Relevant Governmental Body”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09" w:right="339" w:bottom="1440" w:gutter="0" w:footer="0" w:header="0"/>
        </w:sectPr>
      </w:pPr>
    </w:p>
    <w:bookmarkStart w:id="34" w:name="page35"/>
    <w:bookmarkEnd w:id="34"/>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“Required Lenders” means Lenders in the aggregate having greater than 50% of the Aggregate Commitment or, if the Aggregate Commitment has been terminated, Lenders in the aggregate holding greater than 50% of the Aggregate Outstanding Credit Exposure. The Commitments and Outstanding Credit Exposure of any Defaulting Lender shall be disregarded in determining Required Lenders at any time.</w:t>
      </w:r>
    </w:p>
    <w:p>
      <w:pPr>
        <w:spacing w:after="0" w:line="81" w:lineRule="exact"/>
        <w:rPr>
          <w:sz w:val="20"/>
          <w:szCs w:val="20"/>
          <w:color w:val="auto"/>
        </w:rPr>
      </w:pPr>
    </w:p>
    <w:p>
      <w:pPr>
        <w:jc w:val="both"/>
        <w:ind w:right="20" w:firstLine="642"/>
        <w:spacing w:after="0" w:line="302" w:lineRule="auto"/>
        <w:rPr>
          <w:sz w:val="20"/>
          <w:szCs w:val="20"/>
          <w:color w:val="auto"/>
        </w:rPr>
      </w:pPr>
      <w:r>
        <w:rPr>
          <w:rFonts w:ascii="Times New Roman" w:cs="Times New Roman" w:eastAsia="Times New Roman" w:hAnsi="Times New Roman"/>
          <w:sz w:val="21"/>
          <w:szCs w:val="21"/>
          <w:color w:val="auto"/>
        </w:rPr>
        <w:t>“Resolution Authority” means an EEA Resolution Authority or, with respect to any UK Financial Institution, a UK Resolution Authority.</w:t>
      </w:r>
    </w:p>
    <w:p>
      <w:pPr>
        <w:spacing w:after="0" w:line="48" w:lineRule="exact"/>
        <w:rPr>
          <w:sz w:val="20"/>
          <w:szCs w:val="20"/>
          <w:color w:val="auto"/>
        </w:rPr>
      </w:pPr>
    </w:p>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“Restricted Payment” means any dividend or other distribution (whether in cash, securities or other Property) with respect to any Equity Interest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thereof or any option, warrant or other right to acquire any such Equity Interest in the Borrower or any Subsidiary thereof.</w:t>
      </w:r>
    </w:p>
    <w:p>
      <w:pPr>
        <w:spacing w:after="0" w:line="98" w:lineRule="exact"/>
        <w:rPr>
          <w:sz w:val="20"/>
          <w:szCs w:val="20"/>
          <w:color w:val="auto"/>
        </w:rPr>
      </w:pPr>
    </w:p>
    <w:p>
      <w:pPr>
        <w:jc w:val="both"/>
        <w:ind w:right="20" w:firstLine="642"/>
        <w:spacing w:after="0" w:line="289" w:lineRule="auto"/>
        <w:rPr>
          <w:sz w:val="20"/>
          <w:szCs w:val="20"/>
          <w:color w:val="auto"/>
        </w:rPr>
      </w:pPr>
      <w:r>
        <w:rPr>
          <w:rFonts w:ascii="Times New Roman" w:cs="Times New Roman" w:eastAsia="Times New Roman" w:hAnsi="Times New Roman"/>
          <w:sz w:val="21"/>
          <w:szCs w:val="21"/>
          <w:color w:val="auto"/>
        </w:rPr>
        <w:t>“Revolving Loan” means, with respect to a Lender, such Lender’s loan made pursuant to its commitment to lend set forth in Section 2.1 (or any conversion or continuation thereof).</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“S&amp;P” means S&amp;P Global Ratings, a division of S&amp;P Global Inc.</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“Sanctioned Person” is defined in Section 5.21.</w:t>
      </w:r>
    </w:p>
    <w:p>
      <w:pPr>
        <w:spacing w:after="0" w:line="160"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“Sanctions” means sanctions administered or enforced from time to time by the U.S. government, including those administered by OFAC or the U.S. Department of State, the United Nations Security Council, the European Union, His Majesty’s Treasury or other relevant sanctions authority.</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“Schedule” refers to a specific schedule to this Agreement, unless another document is specifically referenced.</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“Screen” has the meaning provided in the definition of Term SOFR Screen Rate.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“Section” means a numbered section of this Agreement, unless another document is specifically referenced.</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“SOFR” means, with respect to any Business Day, a rate per annum equal to the secured overnight financing rate for such Business Day published by the SOFR Administrator on the SOFR Administrator’s Website.</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“SOFR Adjustment” means 0% per annum.</w:t>
      </w:r>
    </w:p>
    <w:p>
      <w:pPr>
        <w:spacing w:after="0" w:line="146"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“SOFR Administrator” means the Federal Reserve Bank of New York (or a successor administrator of the secured overnight financing rate).</w:t>
      </w:r>
    </w:p>
    <w:p>
      <w:pPr>
        <w:spacing w:after="0" w:line="48"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“SOFR Administrator’s Website” means the website of the Federal Reserve Bank of New York, currently at http://www.newyorkfed.org, or any successor source for the secured overnight financing rate identified as such by the SOFR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409" w:right="339" w:bottom="1440" w:gutter="0" w:footer="0" w:header="0"/>
        </w:sectPr>
      </w:pPr>
    </w:p>
    <w:bookmarkStart w:id="35" w:name="page36"/>
    <w:bookmarkEnd w:id="35"/>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“Specified Transaction” means, in each case to the extent not prohibited hereunder, any Investment that results in a Person becoming a Subsidiary of the Borrower, any Permitted Acquisition, any incurrence, prepayment, redemption, repurchase, defeasance, acquisition, extinguishment, retirement or repayment of Indebtedness (other than Indebtedness incurred or repaid under any revolving credit facility or line of credit), any Restricted Payment, or any issuance of Equity Interests by the Borrower.</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“Stated Rate” is defined in Section 2.21.</w:t>
      </w:r>
    </w:p>
    <w:p>
      <w:pPr>
        <w:spacing w:after="0" w:line="160" w:lineRule="exact"/>
        <w:rPr>
          <w:sz w:val="20"/>
          <w:szCs w:val="20"/>
          <w:color w:val="auto"/>
        </w:rPr>
      </w:pPr>
    </w:p>
    <w:p>
      <w:pPr>
        <w:jc w:val="both"/>
        <w:ind w:firstLine="642"/>
        <w:spacing w:after="0" w:line="262" w:lineRule="auto"/>
        <w:rPr>
          <w:sz w:val="20"/>
          <w:szCs w:val="20"/>
          <w:color w:val="auto"/>
        </w:rPr>
      </w:pPr>
      <w:r>
        <w:rPr>
          <w:rFonts w:ascii="Times New Roman" w:cs="Times New Roman" w:eastAsia="Times New Roman" w:hAnsi="Times New Roman"/>
          <w:sz w:val="21"/>
          <w:szCs w:val="21"/>
          <w:color w:val="auto"/>
        </w:rPr>
        <w:t>“Subsidiary” of a Person means (i) any corporation more than 50% of the outstanding securities having ordinary voting power of which shall at the time be owned or controlled, directly or indirectly, by such Person or by one or more of its Subsidiaries or by such Person and one or more of its Subsidiaries, or (ii) any partnership, limited liability company, association, joint venture or similar business organization more than 50% of the ownership interests having ordinary voting power of which shall at the time be so owned or controlled. Unless otherwise expressly provided, all references herein to a “Subsidiary” shall mean a Subsidiary of the Borrower.</w:t>
      </w:r>
    </w:p>
    <w:p>
      <w:pPr>
        <w:spacing w:after="0" w:line="103"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“Substantial Portion” means, with respect to the Property of the Borrower and its Subsidiaries, Property which represents more than 10% of the Consolidated Total Assets of the Borrower and its Subsidiaries or Property which is responsible for more than 10% of the Consolidated Net Income of the Borrower and its Subsidiaries taken as a whole, in each case, as would be shown in the consolidated financial statements of the Borrower and its Subsidiaries as at the beginning of the twelve-month period ending with the month in which such determination is made (or if financial statements have not been delivered hereunder for that month which begins the twelve-month period, then the financial statements delivered hereunder for the quarter ending immediately prior to that month).</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“Supported QFC” is defined in Section 9.16.</w:t>
      </w:r>
    </w:p>
    <w:p>
      <w:pPr>
        <w:spacing w:after="0" w:line="160"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“Swap”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fixed-price physical delivery contracts, whether or not exchange traded, or any other similar transactions or any combination of any of the foregoing (including any options to enter into any of the foregoing), whether or not any such transaction is governed by or subject to any master agreement, including any agreement, contract or transaction that constitutes a “swap” within the meaning of section 1a(47) of the Commodity Exchange Act,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 For the avoidance of doubt, contracts with utility companies for the purchase of electricity at a fixed price are not “swaps”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09" w:right="339" w:bottom="1440" w:gutter="0" w:footer="0" w:header="0"/>
        </w:sectPr>
      </w:pPr>
    </w:p>
    <w:bookmarkStart w:id="36" w:name="page37"/>
    <w:bookmarkEnd w:id="36"/>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“Swap Obligation” means, with respect to any Person, any and all obligations, whether absolute or contingent and howsoever and whensoever created, arising, evidenced or acquired (including all renewals, extensions and modifications thereof and substitutions therefor), under (i) any and all Swaps, and (ii) any and all cancellations, buy backs, reversals, terminations or assignments of any Swap.</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“Swing Line Borrowing Notice” is defined in Section 2.4(b).</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“Swing Line Lender” means U.S. Bank or such other Lender which may succeed to its rights and obligations as Swing Line Lender pursuant to the terms of this Agreement.</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“Swing Line Loan” means a Loan made available to the Borrower by the Swing Line Lender pursuant to Section 2.4.</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“Swing Line Sublimit” means the maximum principal amount of Swing Line Loans the Swing Line Lender may have outstanding to the Borrower at any one time, which, as of the date of this Agreement, is $150,000,000.</w:t>
      </w:r>
    </w:p>
    <w:p>
      <w:pPr>
        <w:spacing w:after="0" w:line="74"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“Taxes” means any and all present or future taxes, duties, levies, imposts, deductions, fees, assessments, charges or withholdings, and any and all liabilities with respect to the foregoing, including interest, additions to tax and penalties applicable thereto.</w:t>
      </w:r>
    </w:p>
    <w:p>
      <w:pPr>
        <w:spacing w:after="0" w:line="73"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“Term SOFR” means the rate per annum determined by the Administrative Agent as the forward-looking term rate based on SOFR.</w:t>
      </w:r>
    </w:p>
    <w:p>
      <w:pPr>
        <w:spacing w:after="0" w:line="48" w:lineRule="exact"/>
        <w:rPr>
          <w:sz w:val="20"/>
          <w:szCs w:val="20"/>
          <w:color w:val="auto"/>
        </w:rPr>
      </w:pPr>
    </w:p>
    <w:p>
      <w:pPr>
        <w:jc w:val="both"/>
        <w:ind w:right="20" w:firstLine="642"/>
        <w:spacing w:after="0" w:line="302" w:lineRule="auto"/>
        <w:rPr>
          <w:sz w:val="20"/>
          <w:szCs w:val="20"/>
          <w:color w:val="auto"/>
        </w:rPr>
      </w:pPr>
      <w:r>
        <w:rPr>
          <w:rFonts w:ascii="Times New Roman" w:cs="Times New Roman" w:eastAsia="Times New Roman" w:hAnsi="Times New Roman"/>
          <w:sz w:val="21"/>
          <w:szCs w:val="21"/>
          <w:color w:val="auto"/>
        </w:rPr>
        <w:t>“Term SOFR Administrator” means CME Group Benchmark Administration Ltd. (or a successor administrator of Term SOFR).</w:t>
      </w:r>
    </w:p>
    <w:p>
      <w:pPr>
        <w:spacing w:after="0" w:line="48"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“Term SOFR Administrator’s Website” means https://www.cmegroup.com/market-data/cme-group-benchmark-administration/term-sofr, or any successor source for Term SOFR identified as such by the Term SOFR Administrator from time to time.</w:t>
      </w:r>
    </w:p>
    <w:p>
      <w:pPr>
        <w:spacing w:after="0" w:line="87"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“Term SOFR Advance” means an Advance that, except as otherwise provided in Section 2.11, bears interest at the applicable Adjusted Term SOFR Screen Rate (other than pursuant to clause (d) of the definition of Alternate Base Rate) plus the Applicable Margin therefor.</w:t>
      </w:r>
    </w:p>
    <w:p>
      <w:pPr>
        <w:spacing w:after="0" w:line="91"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“Term SOFR Loan” means a Loan that, except as otherwise provided in Section 2.11, bears interest at the applicable Adjusted Term SOFR Screen Rate (other than pursuant to clause (d) of the definition of Alternate Base Rate) plus the Applicable Margin therefor.</w:t>
      </w:r>
    </w:p>
    <w:p>
      <w:pPr>
        <w:spacing w:after="0" w:line="91"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“Term SOFR Screen Rate” means, for the relevant Interest Period, the Term SOFR rate quoted by the Administrative Agent from the Term SOFR Administrator’s Website or the applicable Bloomberg screen (or other commercially available source providing such quotations as may be selected by the Administrative Agent from time to time) (the “Screen”) for such Interest Period, which shall be the Term SOFR rate published two Business Days before the first day of such Interest Period (such Business Day, the “Determination Date”). If as of 5:00 p.m. (New York City time) on any Determination Date, the Term SOFR rate has not been published by the Term SOFR Administrator or on the Screen, then the rate used will be that as published by the Term SOFR Administrator or on the Screen for the first preceding Business Day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09" w:right="339" w:bottom="1440" w:gutter="0" w:footer="0" w:header="0"/>
        </w:sectPr>
      </w:pPr>
    </w:p>
    <w:bookmarkStart w:id="37" w:name="page38"/>
    <w:bookmarkEnd w:id="37"/>
    <w:p>
      <w:pPr>
        <w:jc w:val="both"/>
        <w:spacing w:after="0" w:line="289" w:lineRule="auto"/>
        <w:rPr>
          <w:sz w:val="20"/>
          <w:szCs w:val="20"/>
          <w:color w:val="auto"/>
        </w:rPr>
      </w:pPr>
      <w:r>
        <w:rPr>
          <w:rFonts w:ascii="Times New Roman" w:cs="Times New Roman" w:eastAsia="Times New Roman" w:hAnsi="Times New Roman"/>
          <w:sz w:val="21"/>
          <w:szCs w:val="21"/>
          <w:color w:val="auto"/>
        </w:rPr>
        <w:t>such rate was published on such Screen so long as such first preceding Business Day is not more than three (3) Business Days prior to such Determination Date.</w:t>
      </w:r>
    </w:p>
    <w:p>
      <w:pPr>
        <w:spacing w:after="0" w:line="7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“Term SOFR Swingline Rate” means the Adjusted Term SOFR Screen Rate for a one-month Interest Period plus the Applicable Margin for a Loan accruing interest at the Adjusted Term SOFR Screen Rate.</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“Transferee” is defined in Section 12.3(e).</w:t>
      </w:r>
    </w:p>
    <w:p>
      <w:pPr>
        <w:spacing w:after="0" w:line="160"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“Type” means, with respect to any Advance, its nature as a Base Rate Advance or a Term SOFR Advance and with respect to any Loan, its nature as a Base Rate Loan or a Term SOFR Loan.</w:t>
      </w:r>
    </w:p>
    <w:p>
      <w:pPr>
        <w:spacing w:after="0" w:line="7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“UCP” means the Uniform Customs and Practice for Documentary Credits, International Chamber of Commerce Publication No. 600 (or such later version thereof as may be in effect at the applicable time).</w:t>
      </w:r>
    </w:p>
    <w:p>
      <w:pPr>
        <w:spacing w:after="0" w:line="74"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81"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“UK Resolution Authority” means the Bank of England or any other public administrative authority having responsibility for the resolution of any UK Financial Institution.</w:t>
      </w:r>
    </w:p>
    <w:p>
      <w:pPr>
        <w:spacing w:after="0" w:line="48"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“Unadjusted Benchmark Replacement” means the applicable Benchmark Replacement excluding the related Benchmark Replacement Adjustment, if any.</w:t>
      </w:r>
    </w:p>
    <w:p>
      <w:pPr>
        <w:spacing w:after="0" w:line="48"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“Undisclosed Administration”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94"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“U.S. Bank” means U.S. Bank National Association, a national banking association, in its individual capacity, and its successors.</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“U.S. Special Resolution Regimes” is defined in Section 9.16.</w:t>
      </w:r>
    </w:p>
    <w:p>
      <w:pPr>
        <w:spacing w:after="0" w:line="160" w:lineRule="exact"/>
        <w:rPr>
          <w:sz w:val="20"/>
          <w:szCs w:val="20"/>
          <w:color w:val="auto"/>
        </w:rPr>
      </w:pPr>
    </w:p>
    <w:p>
      <w:pPr>
        <w:jc w:val="both"/>
        <w:ind w:firstLine="642"/>
        <w:spacing w:after="0" w:line="261" w:lineRule="auto"/>
        <w:rPr>
          <w:sz w:val="20"/>
          <w:szCs w:val="20"/>
          <w:color w:val="auto"/>
        </w:rPr>
      </w:pPr>
      <w:r>
        <w:rPr>
          <w:rFonts w:ascii="Times New Roman" w:cs="Times New Roman" w:eastAsia="Times New Roman" w:hAnsi="Times New Roman"/>
          <w:sz w:val="21"/>
          <w:szCs w:val="21"/>
          <w:color w:val="auto"/>
        </w:rPr>
        <w:t>“Wholly-Owned Subsidiary” of a Person means (i) any Subsidiary of which 100% of the beneficial ownership interests shall at the time be owned or controlled, directly or indirectly, by such Person or one or more Wholly-Owned Subsidiaries of such Person, or by such Person and one or more Wholly-Owned Subsidiaries of such Person, or (ii) any partnership, limited liability company, association, joint venture or similar business organization of which 100% of the beneficial ownership interests shall at the time be so owned or controlled.</w:t>
      </w:r>
    </w:p>
    <w:p>
      <w:pPr>
        <w:spacing w:after="0" w:line="105"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“Write-Down and Conversion Powers” means, (a) with respect to any EEA Resolution Authority, the write-down and conversion powers of such EEA Resolution Authority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09" w:right="339" w:bottom="1440" w:gutter="0" w:footer="0" w:header="0"/>
        </w:sectPr>
      </w:pPr>
    </w:p>
    <w:bookmarkStart w:id="38" w:name="page39"/>
    <w:bookmarkEnd w:id="38"/>
    <w:p>
      <w:pPr>
        <w:jc w:val="both"/>
        <w:spacing w:after="0" w:line="260" w:lineRule="auto"/>
        <w:rPr>
          <w:sz w:val="20"/>
          <w:szCs w:val="20"/>
          <w:color w:val="auto"/>
        </w:rPr>
      </w:pPr>
      <w:r>
        <w:rPr>
          <w:rFonts w:ascii="Times New Roman" w:cs="Times New Roman" w:eastAsia="Times New Roman" w:hAnsi="Times New Roman"/>
          <w:sz w:val="21"/>
          <w:szCs w:val="21"/>
          <w:color w:val="auto"/>
        </w:rPr>
        <w:t>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foregoing definitions shall be equally applicable to both the singular and plural forms of the defined terms.</w:t>
      </w:r>
    </w:p>
    <w:p>
      <w:pPr>
        <w:spacing w:after="0" w:line="160"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Loan Types</w:t>
      </w:r>
      <w:r>
        <w:rPr>
          <w:rFonts w:ascii="Times New Roman" w:cs="Times New Roman" w:eastAsia="Times New Roman" w:hAnsi="Times New Roman"/>
          <w:sz w:val="21"/>
          <w:szCs w:val="21"/>
          <w:color w:val="auto"/>
        </w:rPr>
        <w:t>. For purposes of this Agreement, Loans may be classified and referred to by Type (e.g., a “Term SOFR Loan”). Advances also may be classified and referred to by Type (e.g., a “Term SOFR Advance”).</w:t>
      </w:r>
    </w:p>
    <w:p>
      <w:pPr>
        <w:spacing w:after="0" w:line="1"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Computation of Time Periods</w:t>
      </w:r>
      <w:r>
        <w:rPr>
          <w:rFonts w:ascii="Times New Roman" w:cs="Times New Roman" w:eastAsia="Times New Roman" w:hAnsi="Times New Roman"/>
          <w:sz w:val="21"/>
          <w:szCs w:val="21"/>
          <w:color w:val="auto"/>
        </w:rPr>
        <w:t>. In this Agreement, in the computation of a period of time from a specified date to a later specified date, unless otherwise stated the word “from” means “from and including” and the word “to” or “until” each means “to but excluding”.</w:t>
      </w:r>
    </w:p>
    <w:p>
      <w:pPr>
        <w:spacing w:after="0" w:line="3"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Other Definitional Terms; Interpretative Provisions</w:t>
      </w:r>
      <w:r>
        <w:rPr>
          <w:rFonts w:ascii="Times New Roman" w:cs="Times New Roman" w:eastAsia="Times New Roman" w:hAnsi="Times New Roman"/>
          <w:sz w:val="21"/>
          <w:szCs w:val="21"/>
          <w:color w:val="auto"/>
        </w:rPr>
        <w:t>. The words “hereof,” “herein” and “hereunder” and words of similar import when used in this Agreement shall refer to this Agreement as a whole and not to any particular provision of this Agreement. References to Sections, Exhibits, schedules and like references are to this Agreement unless otherwise expressly provided. The words “include,” “includes” and “including” shall be deemed to be followed by the phrase “without limitation.” The term “shall” shall have the same meaning as the term “will”. Unless the context in which used herein otherwise clearly requires, “or” has the inclusive meaning represented by the phrase “and/or.” All incorporation by reference of covenants, terms, definitions or other provisions from other agreements are incorporated into this Agreement as if such provisions were fully set forth herein, and such incorporation shall include all necessary definitions and related provisions from such other agreements but including only amendments thereto agreed to by the Lenders, and shall survive any termination of such other agreements until the Obligations under this Agreement and the other Loan Documents are irrevocably paid in full (other than inchoate indemnity obligations and Obligations that have been Cash Collateralized), all Facility LCs have expired without renewal or been returned to LC Issuer, and the Commitments are terminated.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any successor law or regulation. References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w:t>
      </w:r>
    </w:p>
    <w:p>
      <w:pPr>
        <w:spacing w:after="0" w:line="14" w:lineRule="exact"/>
        <w:rPr>
          <w:sz w:val="20"/>
          <w:szCs w:val="20"/>
          <w:color w:val="auto"/>
        </w:rPr>
      </w:pPr>
    </w:p>
    <w:p>
      <w:pPr>
        <w:jc w:val="both"/>
        <w:ind w:right="20" w:firstLine="642"/>
        <w:spacing w:after="0" w:line="265"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409"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21"/>
          <w:szCs w:val="21"/>
          <w:color w:val="auto"/>
        </w:rPr>
        <w:t>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3"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Term SOFR Notification</w:t>
      </w:r>
      <w:r>
        <w:rPr>
          <w:rFonts w:ascii="Times New Roman" w:cs="Times New Roman" w:eastAsia="Times New Roman" w:hAnsi="Times New Roman"/>
          <w:sz w:val="21"/>
          <w:szCs w:val="21"/>
          <w:color w:val="auto"/>
        </w:rPr>
        <w:t>. The interest rate on Term SOFR Advances or Swing Line Loans accruing interest at the Term SOFR Swingline Rate is determined by reference to the Adjusted Term SOFR Screen Rate, which is derived from Term SOFR. Section 3.3(b) provides a mechanism for (a) determining an alternative rate of interest if Term SOFR is no longer available or in the other circumstances set forth in Section 3.3(b), and (b) modifying this Agreement to give effect to such alternative rate of interest. The Administrative Agent does not warrant or accept any responsibility for, and shall not have any liability with respect to, the administration, submission or any other matter related to Term SOFR or other rates in the definition of Term SOFR Screen Rate or with respect to any alternative or successor rate thereto, or replacement rate thereof (including any Benchmark Replacement), including without limitation, whether any such alternative, successor or replacement reference rate (including any Benchmark Replacement), as it may or may not be adjusted pursuant to Section 3.3(b), will have the same value as, or be economically equivalent to, the Term SOFR Screen Rate. The Administrative Agent and its affiliates or other related entities may engage in transactions that affect the calculation of Alternate Base Rate, Term SOFR, the Term SOFR Screen Rate, the Adjusted Term SOFR Screen Rate, the Term SOFR Swingline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 SOFR Screen Rate, the Adjusted Term SOFR Screen Rate, the Term SOFR Swingline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Daily Simple SOFR shall not be available as an interest rate election hereunder for so long as Term SOFR is available to the Borrower hereunder.</w:t>
      </w:r>
    </w:p>
    <w:p>
      <w:pPr>
        <w:spacing w:after="0" w:line="1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Facility LC Amounts</w:t>
      </w:r>
      <w:r>
        <w:rPr>
          <w:rFonts w:ascii="Times New Roman" w:cs="Times New Roman" w:eastAsia="Times New Roman" w:hAnsi="Times New Roman"/>
          <w:sz w:val="21"/>
          <w:szCs w:val="21"/>
          <w:color w:val="auto"/>
        </w:rPr>
        <w:t xml:space="preserve">. Unless otherwise specified herein, the amount of a Facility LC at any time shall be deemed to be the amount of such Facility LC available to be drawn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Facility LC that, by its terms, provides for one or more automatic increases in the available amount thereof, the amount of such Facility LC shall be deemed to be the maximum amount of such Facility LC after giving effect to all such increases, whether or not such maximum amount is available to be drawn at such time.</w:t>
      </w: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THE CREDITS</w:t>
      </w:r>
    </w:p>
    <w:p>
      <w:pPr>
        <w:spacing w:after="0" w:line="231"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From and including the date of this Agreement and prior to the Facility Termination Date, each Lender severally agrees, on the terms and conditions set forth in this Agreement, to make Revolving Loans to the Borrower in Dollars and participate in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09" w:right="339" w:bottom="1440" w:gutter="0" w:footer="0" w:header="0"/>
        </w:sectPr>
      </w:pPr>
    </w:p>
    <w:bookmarkStart w:id="40" w:name="page41"/>
    <w:bookmarkEnd w:id="40"/>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LCs issued upon the request of the Borrower,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after giving effect to the making of each such Loan and the issuance of each such Facility LC, (i) the amount of such Lender’s Outstanding Credit Exposure shall not exceed its Commitment, and (ii) the Aggregate Outstanding Credit Exposure shall not exceed the Aggregate Commitment. Subject to the terms of this Agreement, the Borrower may borrow, repay and reborrow the Revolving Loans at any time prior to the Facility Termination Date. Unless previously terminated, the Commitments shall terminate on the Facility Termination Date. The LC Issuer will issue Facility LCs hereunder on the terms and conditions set forth in Section 2.19.</w:t>
      </w:r>
    </w:p>
    <w:p>
      <w:pPr>
        <w:spacing w:after="0" w:line="2"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Required Payments</w:t>
      </w:r>
      <w:r>
        <w:rPr>
          <w:rFonts w:ascii="Times New Roman" w:cs="Times New Roman" w:eastAsia="Times New Roman" w:hAnsi="Times New Roman"/>
          <w:sz w:val="21"/>
          <w:szCs w:val="21"/>
          <w:color w:val="auto"/>
        </w:rPr>
        <w:t>. The Aggregate Outstanding Credit Exposure and all other unpaid Obligations under this Agreement and the other Loan Documents shall be paid in full by the Borrower on the Facility Termination Date. If the Aggregate Outstanding Credit Exposure at any time exceeds the Aggregate Commitment, the Borrower shall immediately make a payment on the Loans or Cash Collateralize LC Obligations in an account with the Administrative Agent pursuant to Section 2.19 sufficient to eliminate such excess.</w:t>
      </w:r>
    </w:p>
    <w:p>
      <w:pPr>
        <w:spacing w:after="0" w:line="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Ratable Loans; Types of Advances</w:t>
      </w:r>
      <w:r>
        <w:rPr>
          <w:rFonts w:ascii="Times New Roman" w:cs="Times New Roman" w:eastAsia="Times New Roman" w:hAnsi="Times New Roman"/>
          <w:sz w:val="21"/>
          <w:szCs w:val="21"/>
          <w:color w:val="auto"/>
        </w:rPr>
        <w:t>. Each Advance hereunder (other than any Swing Line Loan) shall consist of Revolving Loans made from the several Lenders ratably according to their Pro Rata Shares. The Advances may be Base Rate Advances or Term SOFR Advances, or a combination thereof, selected by the Borrower in accordance with Sections 2.8 and 2.9, or Swing Line Loans selected by the Borrower in accordance with Section 2.4.</w:t>
      </w:r>
    </w:p>
    <w:p>
      <w:pPr>
        <w:spacing w:after="0" w:line="3"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1"/>
          <w:szCs w:val="21"/>
          <w:u w:val="single" w:color="auto"/>
          <w:color w:val="auto"/>
        </w:rPr>
        <w:t>Swing Line Loans</w:t>
      </w:r>
      <w:r>
        <w:rPr>
          <w:rFonts w:ascii="Times New Roman" w:cs="Times New Roman" w:eastAsia="Times New Roman" w:hAnsi="Times New Roman"/>
          <w:sz w:val="21"/>
          <w:szCs w:val="21"/>
          <w:color w:val="auto"/>
        </w:rPr>
        <w:t>.</w:t>
      </w:r>
    </w:p>
    <w:p>
      <w:pPr>
        <w:spacing w:after="0" w:line="96" w:lineRule="exact"/>
        <w:rPr>
          <w:sz w:val="20"/>
          <w:szCs w:val="20"/>
          <w:color w:val="auto"/>
        </w:rPr>
      </w:pPr>
    </w:p>
    <w:p>
      <w:pPr>
        <w:jc w:val="both"/>
        <w:ind w:firstLine="1291"/>
        <w:spacing w:after="0" w:line="259" w:lineRule="auto"/>
        <w:tabs>
          <w:tab w:leader="none" w:pos="17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Amount of Swing Line Loans</w:t>
      </w:r>
      <w:r>
        <w:rPr>
          <w:rFonts w:ascii="Times New Roman" w:cs="Times New Roman" w:eastAsia="Times New Roman" w:hAnsi="Times New Roman"/>
          <w:sz w:val="21"/>
          <w:szCs w:val="21"/>
          <w:color w:val="auto"/>
        </w:rPr>
        <w:t xml:space="preserve">. Upon the satisfaction of the conditions precedent set forth in Section 4.2 and, if such Swing Line Loan is to be made on the date of the initial Advance hereunder, the satisfaction of the conditions precedent set forth in Section 4.1 as well, from and including the date of this Agreement and prior to the Facility Termination Date, the Swing Line Lender may, at its option and in its sole discretion, on the terms and conditions set forth in this Agreement, make Swing Line Loans in Dollars to the Borrower from time to time in an aggregate principal amount not to exceed the Swing Line Sublimit,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Aggregate Outstanding Credit Exposure shall not at any time exceed the Aggregate Commitment, and</w:t>
      </w:r>
      <w:r>
        <w:rPr>
          <w:rFonts w:ascii="Times New Roman" w:cs="Times New Roman" w:eastAsia="Times New Roman" w:hAnsi="Times New Roman"/>
          <w:sz w:val="21"/>
          <w:szCs w:val="21"/>
          <w:i w:val="1"/>
          <w:iCs w:val="1"/>
          <w:color w:val="auto"/>
        </w:rPr>
        <w:t xml:space="preserve"> provided further </w:t>
      </w:r>
      <w:r>
        <w:rPr>
          <w:rFonts w:ascii="Times New Roman" w:cs="Times New Roman" w:eastAsia="Times New Roman" w:hAnsi="Times New Roman"/>
          <w:sz w:val="21"/>
          <w:szCs w:val="21"/>
          <w:color w:val="auto"/>
        </w:rPr>
        <w:t>that at no time shall the sum of (i) the Swing Line Loans,</w:t>
      </w:r>
      <w:r>
        <w:rPr>
          <w:rFonts w:ascii="Times New Roman" w:cs="Times New Roman" w:eastAsia="Times New Roman" w:hAnsi="Times New Roman"/>
          <w:sz w:val="21"/>
          <w:szCs w:val="21"/>
          <w:i w:val="1"/>
          <w:iCs w:val="1"/>
          <w:color w:val="auto"/>
        </w:rPr>
        <w:t xml:space="preserve"> plus </w:t>
      </w:r>
      <w:r>
        <w:rPr>
          <w:rFonts w:ascii="Times New Roman" w:cs="Times New Roman" w:eastAsia="Times New Roman" w:hAnsi="Times New Roman"/>
          <w:sz w:val="21"/>
          <w:szCs w:val="21"/>
          <w:color w:val="auto"/>
        </w:rPr>
        <w:t>(ii) the outstanding Revolving Loans,</w:t>
      </w:r>
      <w:r>
        <w:rPr>
          <w:rFonts w:ascii="Times New Roman" w:cs="Times New Roman" w:eastAsia="Times New Roman" w:hAnsi="Times New Roman"/>
          <w:sz w:val="21"/>
          <w:szCs w:val="21"/>
          <w:i w:val="1"/>
          <w:iCs w:val="1"/>
          <w:color w:val="auto"/>
        </w:rPr>
        <w:t xml:space="preserve"> plus </w:t>
      </w:r>
      <w:r>
        <w:rPr>
          <w:rFonts w:ascii="Times New Roman" w:cs="Times New Roman" w:eastAsia="Times New Roman" w:hAnsi="Times New Roman"/>
          <w:sz w:val="21"/>
          <w:szCs w:val="21"/>
          <w:color w:val="auto"/>
        </w:rPr>
        <w:t>(iii) the LC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Obligations, exceed the Aggregate Commitment at such time. Subject to the terms of this Agreement (including, without limitation the discretion of the Swing Line Lender), the Borrower may borrow, repay and reborrow Swing Line Loans at any time prior to the Facility Termination Date.</w:t>
      </w:r>
    </w:p>
    <w:p>
      <w:pPr>
        <w:spacing w:after="0" w:line="175" w:lineRule="exact"/>
        <w:rPr>
          <w:rFonts w:ascii="Times New Roman" w:cs="Times New Roman" w:eastAsia="Times New Roman" w:hAnsi="Times New Roman"/>
          <w:sz w:val="21"/>
          <w:szCs w:val="21"/>
          <w:color w:val="auto"/>
        </w:rPr>
      </w:pPr>
    </w:p>
    <w:p>
      <w:pPr>
        <w:jc w:val="both"/>
        <w:ind w:firstLine="1291"/>
        <w:spacing w:after="0" w:line="265" w:lineRule="auto"/>
        <w:tabs>
          <w:tab w:leader="none" w:pos="181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Borrowing Notice</w:t>
      </w:r>
      <w:r>
        <w:rPr>
          <w:rFonts w:ascii="Times New Roman" w:cs="Times New Roman" w:eastAsia="Times New Roman" w:hAnsi="Times New Roman"/>
          <w:sz w:val="21"/>
          <w:szCs w:val="21"/>
          <w:color w:val="auto"/>
        </w:rPr>
        <w:t>. In order to borrow a Swing Line Loan, the Borrower shall deliver to the Administrative Agent and the Swing Line Lender irrevocable notice in the form of Exhibit C-1 (a “Swing Line Borrowing Notice”) not later than 12:00 noon (Chicago time) on the Borrowing Date of each Swing Line Loan, specifying (i) the applicable Borrowing Date (which date shall be a Business Day), and (ii) the aggregate amount of the requested Swing Line Loan which shall be an amount not less than $100,000.</w:t>
      </w:r>
    </w:p>
    <w:p>
      <w:pPr>
        <w:spacing w:after="0" w:line="164" w:lineRule="exact"/>
        <w:rPr>
          <w:rFonts w:ascii="Times New Roman" w:cs="Times New Roman" w:eastAsia="Times New Roman" w:hAnsi="Times New Roman"/>
          <w:sz w:val="21"/>
          <w:szCs w:val="21"/>
          <w:color w:val="auto"/>
        </w:rPr>
      </w:pPr>
    </w:p>
    <w:p>
      <w:pPr>
        <w:jc w:val="both"/>
        <w:ind w:firstLine="1291"/>
        <w:spacing w:after="0" w:line="271" w:lineRule="auto"/>
        <w:tabs>
          <w:tab w:leader="none" w:pos="186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Making of Swing Line Loans; Participations</w:t>
      </w:r>
      <w:r>
        <w:rPr>
          <w:rFonts w:ascii="Times New Roman" w:cs="Times New Roman" w:eastAsia="Times New Roman" w:hAnsi="Times New Roman"/>
          <w:sz w:val="21"/>
          <w:szCs w:val="21"/>
          <w:color w:val="auto"/>
        </w:rPr>
        <w:t>. Not later than 2:00 p.m. (Chicago time) on the applicable Borrowing Date, the Swing Line Lender shall make available the Swing Line Loan, in funds immediately available, to the Administrative Agent at its address specified pursuant to Article XIII. The Administrative Agent will promptly make the funds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405" w:right="339" w:bottom="1440" w:gutter="0" w:footer="0" w:header="0"/>
        </w:sectPr>
      </w:pPr>
    </w:p>
    <w:bookmarkStart w:id="41" w:name="page42"/>
    <w:bookmarkEnd w:id="41"/>
    <w:p>
      <w:pPr>
        <w:jc w:val="both"/>
        <w:spacing w:after="0" w:line="265" w:lineRule="auto"/>
        <w:rPr>
          <w:sz w:val="20"/>
          <w:szCs w:val="20"/>
          <w:color w:val="auto"/>
        </w:rPr>
      </w:pPr>
      <w:r>
        <w:rPr>
          <w:rFonts w:ascii="Times New Roman" w:cs="Times New Roman" w:eastAsia="Times New Roman" w:hAnsi="Times New Roman"/>
          <w:sz w:val="21"/>
          <w:szCs w:val="21"/>
          <w:color w:val="auto"/>
        </w:rPr>
        <w:t>received from the Swing Line Lender available to the Borrower on the Borrowing Date at the Administrative Agent’s aforesaid address. Each time that a Swing Line Loan is made by the Swing Line Lender, the Swing Line Lender shall be deemed, without further action by any party hereto, to have unconditionally and irrevocably sold to each Lender and each Lender shall be deemed, without further action by any party hereto, to have unconditionally and irrevocably purchased from the Swing Line Lender, a participation in such Swing Line Loan in proportion to its Pro Rata Share.</w:t>
      </w:r>
    </w:p>
    <w:p>
      <w:pPr>
        <w:spacing w:after="0" w:line="4" w:lineRule="exact"/>
        <w:rPr>
          <w:sz w:val="20"/>
          <w:szCs w:val="20"/>
          <w:color w:val="auto"/>
        </w:rPr>
      </w:pPr>
    </w:p>
    <w:p>
      <w:pPr>
        <w:jc w:val="both"/>
        <w:ind w:firstLine="1291"/>
        <w:spacing w:after="0" w:line="256" w:lineRule="auto"/>
        <w:tabs>
          <w:tab w:leader="none" w:pos="181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 of Swing Line Loans</w:t>
      </w:r>
      <w:r>
        <w:rPr>
          <w:rFonts w:ascii="Times New Roman" w:cs="Times New Roman" w:eastAsia="Times New Roman" w:hAnsi="Times New Roman"/>
          <w:sz w:val="21"/>
          <w:szCs w:val="21"/>
          <w:color w:val="auto"/>
        </w:rPr>
        <w:t>. Each Swing Line Loan shall be paid in full by the Borrower on the date selected by the Administrative Agent. In addition, the Swing Line Lender may at any time in its sole discretion with respect to any outstanding Swing Line Loan, require each Lender to fund the participation acquired by such Lender pursuant to Section 2.4(c) or require each Lender (including the Swing Line Lender) to make a Revolving Loan in the amount of such Lender’s Pro Rata Share of such Swing Line Loan (including, without limitation, any interest accrued and unpaid thereon), for the purpose of repaying such Swing Line Loan. Not later than 12:00 noon (Chicago time) on the date of any notice received pursuant to this Section 2.4(d) (or, if such notice is received after 10:00 a.m. (Chicago time) on such Business Day, then within two hours after receiving such notice), each Lender shall make available its required Revolving Loan, in funds immediately available to the Administrative Agent at its address specified pursuant to Article XIII. Revolving Loans made pursuant to this Section 2.4(d) shall initially be Base Rate Loans and thereafter may be continued as Base Rate Loans or converted into Term SOFR Loans in the manner provided in Section 2.9 and subject to the other conditions and limitations set forth in this Article II. Unless a Lender shall have notified the Swing Line Lender, prior to the Swing Line Lender’s making any Swing Line Loan, that any applicable condition precedent set forth in Sections 4.1 or 4.2 had not then been satisfied, such Lender’s obligation to make Revolving Loans pursuant to this Section 2.4(d) to repay Swing Line Loans or to fund the participation acquired pursuant to Section 2.4(c) shall be unconditional, continuing, irrevocable and absolute and shall not be affected by any circumstances, including (a) any set-off, counterclaim, recoupment, defense or other right which such Lender may have against the Borrower, the Administrative Agent, the Swing Line Lender or any other Person, (b) the occurrence or continuance of a Default or Event of Default, (c) any adverse change in the condition (financial or otherwise) of the Borrower, or (d) any other circumstances, happening or event whatsoever. In the event that any Lender fails to make payment to the Administrative Agent of any amount due under this Section 2.4(d), interest shall accrue thereon at the Federal Funds Effective Rate for each day during the period commencing on the date of demand and ending on the date such amount is received and the Administrative Agent shall be entitled to receive, retain and apply against such obligation the principal and interest otherwise payable to such Lender hereunder until the Administrative Agent receives such payment from such Lender or such obligation is otherwise fully satisfied. On the Facility Termination Date, the Borrower shall repay in full the outstanding principal balance of the Swing Line Loans.</w:t>
      </w:r>
    </w:p>
    <w:p>
      <w:pPr>
        <w:spacing w:after="0" w:line="24"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 The Borrower agrees to pay to the Administrative Agent for the account of each Lender according to its Pro Rata Share a commitment fee at a per annum rate equal to the Applicable Margin on the average daily Available Aggregate Commitment from the date hereof to and including the Facility Termination Date, payable in arrears on each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409" w:right="339" w:bottom="1440" w:gutter="0" w:footer="0" w:header="0"/>
        </w:sectPr>
      </w:pPr>
    </w:p>
    <w:bookmarkStart w:id="42" w:name="page43"/>
    <w:bookmarkEnd w:id="42"/>
    <w:p>
      <w:pPr>
        <w:jc w:val="both"/>
        <w:spacing w:after="0" w:line="264" w:lineRule="auto"/>
        <w:rPr>
          <w:sz w:val="20"/>
          <w:szCs w:val="20"/>
          <w:color w:val="auto"/>
        </w:rPr>
      </w:pPr>
      <w:r>
        <w:rPr>
          <w:rFonts w:ascii="Times New Roman" w:cs="Times New Roman" w:eastAsia="Times New Roman" w:hAnsi="Times New Roman"/>
          <w:sz w:val="21"/>
          <w:szCs w:val="21"/>
          <w:color w:val="auto"/>
        </w:rPr>
        <w:t>Date hereafter and on the Facility Termination Date. Swing Line Loans shall not count as usage of the Aggregate Commitment for the purpose of calculating the commitment fee due hereunder.</w:t>
      </w:r>
    </w:p>
    <w:p>
      <w:pPr>
        <w:spacing w:after="0" w:line="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Minimum Amount of Each Advance</w:t>
      </w:r>
      <w:r>
        <w:rPr>
          <w:rFonts w:ascii="Times New Roman" w:cs="Times New Roman" w:eastAsia="Times New Roman" w:hAnsi="Times New Roman"/>
          <w:sz w:val="21"/>
          <w:szCs w:val="21"/>
          <w:color w:val="auto"/>
        </w:rPr>
        <w:t xml:space="preserve">. Each Term SOFR Advance shall be in the minimum amount of $5,000,000 and incremental amounts in integral multiples of $1,000,000, and each Base Rate Advance (other than an Advance to repay Swing Line Loans) shall be in the minimum amount of $1,000,000 and incremental amounts in integral multiples of $500,000,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Base Rate Advance may be in the amount of the Available Aggregate Commitment.</w:t>
      </w:r>
    </w:p>
    <w:p>
      <w:pPr>
        <w:spacing w:after="0" w:line="3"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2.7.</w:t>
      </w:r>
      <w:r>
        <w:rPr>
          <w:sz w:val="20"/>
          <w:szCs w:val="20"/>
          <w:color w:val="auto"/>
        </w:rPr>
        <w:tab/>
      </w:r>
      <w:r>
        <w:rPr>
          <w:rFonts w:ascii="Times New Roman" w:cs="Times New Roman" w:eastAsia="Times New Roman" w:hAnsi="Times New Roman"/>
          <w:sz w:val="21"/>
          <w:szCs w:val="21"/>
          <w:u w:val="single" w:color="auto"/>
          <w:color w:val="auto"/>
        </w:rPr>
        <w:t>Reductions in Aggregate Commitment; Optional Principal Payments</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jc w:val="both"/>
        <w:ind w:firstLine="1291"/>
        <w:spacing w:after="0" w:line="262" w:lineRule="auto"/>
        <w:tabs>
          <w:tab w:leader="none" w:pos="180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permanently reduce the Aggregate Commitment, in whole or in part, ratably among the Lenders in a minimum aggregate amount of $5,000,000 and in integral multiples of $1,000,000, upon at least five (5) Business Days’ prior written notice to the Administrative Agent by 3:00 p.m. (Chicago time) in the form of </w:t>
      </w:r>
      <w:r>
        <w:rPr>
          <w:rFonts w:ascii="Times New Roman" w:cs="Times New Roman" w:eastAsia="Times New Roman" w:hAnsi="Times New Roman"/>
          <w:sz w:val="21"/>
          <w:szCs w:val="21"/>
          <w:u w:val="single" w:color="auto"/>
          <w:color w:val="auto"/>
        </w:rPr>
        <w:t>Exhibit C-3</w:t>
      </w:r>
      <w:r>
        <w:rPr>
          <w:rFonts w:ascii="Times New Roman" w:cs="Times New Roman" w:eastAsia="Times New Roman" w:hAnsi="Times New Roman"/>
          <w:sz w:val="21"/>
          <w:szCs w:val="21"/>
          <w:color w:val="auto"/>
        </w:rPr>
        <w:t xml:space="preserve"> (a “Payment Notice”), which notice shall specify the amount of any such reduction,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amount of the Aggregate Commitment of the Lenders may not be reduced below the Aggregate Outstanding Credit Exposure. All accrued commitment fees shall be payable on the effective date of any termination of the obligations of the Lenders to make Credit Extensions hereunder.</w:t>
      </w:r>
    </w:p>
    <w:p>
      <w:pPr>
        <w:spacing w:after="0" w:line="63" w:lineRule="exact"/>
        <w:rPr>
          <w:rFonts w:ascii="Times New Roman" w:cs="Times New Roman" w:eastAsia="Times New Roman" w:hAnsi="Times New Roman"/>
          <w:sz w:val="21"/>
          <w:szCs w:val="21"/>
          <w:color w:val="auto"/>
        </w:rPr>
      </w:pPr>
    </w:p>
    <w:p>
      <w:pPr>
        <w:jc w:val="both"/>
        <w:ind w:firstLine="1291"/>
        <w:spacing w:after="0" w:line="258" w:lineRule="auto"/>
        <w:tabs>
          <w:tab w:leader="none" w:pos="179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from time to time pay, without penalty or premium, all outstanding Base Rate Advances (other than Swing Line Loans), or, in a minimum aggregate amount of $1,000,000 and incremental amounts in integral multiples of $500,000 (or the aggregate amount of the outstanding Loans at such time), any portion of the aggregate outstanding Base Rate Advances (other than Swing Line Loans) upon same day notice by 10:00 a.m. (Chicago time) to the Administrative Agent. The Borrower may at any time pay, without penalty or premium, all outstanding Swing Line Loans, or any portion of the outstanding Swing Line Loans, with notice to the Administrative Agent and the Swing Line Lender by 12:00 noon (Chicago time) on the date of repayment. The Borrower may from time to time pay, subject to the payment of any funding indemnification amounts required by Section 3.4 but without penalty or premium, all outstanding Term SOFR Advances, or, in a minimum aggregate amount of $5,000,000 and incremental amounts in integral multiples of $1,000,000 (or the aggregate amount of the outstanding Revolving Loans at such time), any portion of the aggregate outstanding Term SOFR Advances upon at least two (2) Business Days’ prior written notice to the Administrative Agent by 3:00 p.m. (Chicago time).</w:t>
      </w:r>
    </w:p>
    <w:p>
      <w:pPr>
        <w:spacing w:after="0" w:line="140"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2.8. </w:t>
      </w:r>
      <w:r>
        <w:rPr>
          <w:rFonts w:ascii="Times New Roman" w:cs="Times New Roman" w:eastAsia="Times New Roman" w:hAnsi="Times New Roman"/>
          <w:sz w:val="21"/>
          <w:szCs w:val="21"/>
          <w:u w:val="single" w:color="auto"/>
          <w:color w:val="auto"/>
        </w:rPr>
        <w:t>Method of Selecting Types and Interest Periods for New Advances</w:t>
      </w:r>
      <w:r>
        <w:rPr>
          <w:rFonts w:ascii="Times New Roman" w:cs="Times New Roman" w:eastAsia="Times New Roman" w:hAnsi="Times New Roman"/>
          <w:sz w:val="21"/>
          <w:szCs w:val="21"/>
          <w:color w:val="auto"/>
        </w:rPr>
        <w:t xml:space="preserve">. The Borrower shall select the Type of Advance and, in the case of each Term SOFR Advance, the Interest Period applicable thereto from time to time. The Borrower shall give the Administrative Agent irrevocable notice in the form of </w:t>
      </w:r>
      <w:r>
        <w:rPr>
          <w:rFonts w:ascii="Times New Roman" w:cs="Times New Roman" w:eastAsia="Times New Roman" w:hAnsi="Times New Roman"/>
          <w:sz w:val="21"/>
          <w:szCs w:val="21"/>
          <w:u w:val="single" w:color="auto"/>
          <w:color w:val="auto"/>
        </w:rPr>
        <w:t>Exhibit C-1</w:t>
      </w:r>
      <w:r>
        <w:rPr>
          <w:rFonts w:ascii="Times New Roman" w:cs="Times New Roman" w:eastAsia="Times New Roman" w:hAnsi="Times New Roman"/>
          <w:sz w:val="21"/>
          <w:szCs w:val="21"/>
          <w:color w:val="auto"/>
        </w:rPr>
        <w:t xml:space="preserve"> (a “Borrowing Notice”) not later than 10:00 a.m. (Chicago time) on the Borrowing Date of each Base Rate Advance (other than a Swing Line Loan), and two (2) Business Days before the Borrowing Date for each Term SOFR Advance, specifying:</w:t>
      </w:r>
    </w:p>
    <w:p>
      <w:pPr>
        <w:spacing w:after="0" w:line="2" w:lineRule="exact"/>
        <w:rPr>
          <w:sz w:val="20"/>
          <w:szCs w:val="20"/>
          <w:color w:val="auto"/>
        </w:rPr>
      </w:pPr>
    </w:p>
    <w:p>
      <w:pPr>
        <w:ind w:left="2340" w:hanging="407"/>
        <w:spacing w:after="0"/>
        <w:tabs>
          <w:tab w:leader="none" w:pos="23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Borrowing Date, which shall be a Business Day, of such Advance,</w:t>
      </w:r>
    </w:p>
    <w:p>
      <w:pPr>
        <w:spacing w:after="0" w:line="55" w:lineRule="exact"/>
        <w:rPr>
          <w:rFonts w:ascii="Times New Roman" w:cs="Times New Roman" w:eastAsia="Times New Roman" w:hAnsi="Times New Roman"/>
          <w:sz w:val="21"/>
          <w:szCs w:val="21"/>
          <w:color w:val="auto"/>
        </w:rPr>
      </w:pPr>
    </w:p>
    <w:p>
      <w:pPr>
        <w:ind w:left="2400" w:hanging="467"/>
        <w:spacing w:after="0"/>
        <w:tabs>
          <w:tab w:leader="none" w:pos="240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such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409" w:right="339" w:bottom="1440" w:gutter="0" w:footer="0" w:header="0"/>
        </w:sectPr>
      </w:pPr>
    </w:p>
    <w:bookmarkStart w:id="43" w:name="page44"/>
    <w:bookmarkEnd w:id="43"/>
    <w:p>
      <w:pPr>
        <w:ind w:left="2460" w:hanging="527"/>
        <w:spacing w:after="0"/>
        <w:tabs>
          <w:tab w:leader="none" w:pos="24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Type of Advance selected, and</w:t>
      </w:r>
    </w:p>
    <w:p>
      <w:pPr>
        <w:spacing w:after="0" w:line="66" w:lineRule="exact"/>
        <w:rPr>
          <w:rFonts w:ascii="Times New Roman" w:cs="Times New Roman" w:eastAsia="Times New Roman" w:hAnsi="Times New Roman"/>
          <w:sz w:val="21"/>
          <w:szCs w:val="21"/>
          <w:color w:val="auto"/>
        </w:rPr>
      </w:pPr>
    </w:p>
    <w:p>
      <w:pPr>
        <w:ind w:left="2460" w:hanging="527"/>
        <w:spacing w:after="0"/>
        <w:tabs>
          <w:tab w:leader="none" w:pos="24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each Term SOFR Advance, the Interest Period applicable thereto.</w:t>
      </w:r>
    </w:p>
    <w:p>
      <w:pPr>
        <w:spacing w:after="0" w:line="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Promptly following receipt of a Borrowing Notice, the Administrative Agent shall advise each Lender of the details thereof and such Lender’s Pro Rata Share of such Advance. Not later than 12:00 noon (Chicago time) on each Borrowing Date (or, if a Lender receives such advice from the Administrative Agent after 10:00 a.m. (Chicago time) on such Business Day in the case of Base Rate Advances, within two hours after receiving such notice), each Lender shall make available its Loan or Loans in funds immediately available to the Administrative Agent at its address specified pursuant to Article XIII. The Administrative Agent will promptly make the funds so received from the Lenders available to the Borrower at the Administrative Agent’s aforesaid address.</w:t>
      </w:r>
    </w:p>
    <w:p>
      <w:pPr>
        <w:spacing w:after="0" w:line="77"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21"/>
          <w:szCs w:val="21"/>
          <w:u w:val="single" w:color="auto"/>
          <w:color w:val="auto"/>
        </w:rPr>
        <w:t>Conversion and Continuation of Outstanding Advances; Maximum Number of Interest Periods</w:t>
      </w:r>
      <w:r>
        <w:rPr>
          <w:rFonts w:ascii="Times New Roman" w:cs="Times New Roman" w:eastAsia="Times New Roman" w:hAnsi="Times New Roman"/>
          <w:sz w:val="21"/>
          <w:szCs w:val="21"/>
          <w:color w:val="auto"/>
        </w:rPr>
        <w:t xml:space="preserve">. Base Rate Advances (other than Swing Line Loans) shall continue as Base Rate Advances unless and until such Base Rate Advances are converted into Term SOFR Advances pursuant to this Section 2.9 or are repaid in accordance with Section 2.7. Each Term SOFR Advance shall continue as a Term SOFR Advance until the end of the then applicable Interest Period therefor, at which time such Term SOFR Advance shall be automatically converted into a Base Rate Advance unless (x) such Term SOFR Advance is or was repaid in accordance with Section 2.7 or (y) the Borrower shall have given the Administrative Agent a Conversion/Continuation Notice (as defined below) requesting that, at the end of such Interest Period, such Term SOFR Advance continue as a Term SOFR Advance for the same or another Interest Period. Subject to the terms of Section 2.6, the Borrower may elect from time to time to convert all or any part of a Base Rate Advance (other than a Swing Line Loan) into a Term SOFR Advance. The Borrower shall give the Administrative Agent irrevocable notice in the form of </w:t>
      </w:r>
      <w:r>
        <w:rPr>
          <w:rFonts w:ascii="Times New Roman" w:cs="Times New Roman" w:eastAsia="Times New Roman" w:hAnsi="Times New Roman"/>
          <w:sz w:val="21"/>
          <w:szCs w:val="21"/>
          <w:u w:val="single" w:color="auto"/>
          <w:color w:val="auto"/>
        </w:rPr>
        <w:t>Exhibit C-2</w:t>
      </w:r>
      <w:r>
        <w:rPr>
          <w:rFonts w:ascii="Times New Roman" w:cs="Times New Roman" w:eastAsia="Times New Roman" w:hAnsi="Times New Roman"/>
          <w:sz w:val="21"/>
          <w:szCs w:val="21"/>
          <w:color w:val="auto"/>
        </w:rPr>
        <w:t xml:space="preserve"> (a “Conversion/Continuation Notice”) of each conversion of a Base Rate Advance into a Term SOFR Advance, conversion of a Term SOFR Advance to a Base Rate Advance, or continuation of a Term SOFR Advance not later than 10:00 a.m. (Chicago time) at least two (2) Business Days prior to the date of the requested conversion or continuation, specifying:</w:t>
      </w:r>
    </w:p>
    <w:p>
      <w:pPr>
        <w:spacing w:after="0" w:line="6" w:lineRule="exact"/>
        <w:rPr>
          <w:sz w:val="20"/>
          <w:szCs w:val="20"/>
          <w:color w:val="auto"/>
        </w:rPr>
      </w:pPr>
    </w:p>
    <w:p>
      <w:pPr>
        <w:ind w:left="2340" w:hanging="407"/>
        <w:spacing w:after="0"/>
        <w:tabs>
          <w:tab w:leader="none" w:pos="23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requested date, which shall be a Business Day, of such conversion or continuation,</w:t>
      </w:r>
    </w:p>
    <w:p>
      <w:pPr>
        <w:spacing w:after="0" w:line="42" w:lineRule="exact"/>
        <w:rPr>
          <w:rFonts w:ascii="Times New Roman" w:cs="Times New Roman" w:eastAsia="Times New Roman" w:hAnsi="Times New Roman"/>
          <w:sz w:val="21"/>
          <w:szCs w:val="21"/>
          <w:color w:val="auto"/>
        </w:rPr>
      </w:pPr>
    </w:p>
    <w:p>
      <w:pPr>
        <w:ind w:left="2400" w:hanging="467"/>
        <w:spacing w:after="0"/>
        <w:tabs>
          <w:tab w:leader="none" w:pos="24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Type of the Advance which is to be converted or continued, and</w:t>
      </w:r>
    </w:p>
    <w:p>
      <w:pPr>
        <w:spacing w:after="0" w:line="66" w:lineRule="exact"/>
        <w:rPr>
          <w:rFonts w:ascii="Times New Roman" w:cs="Times New Roman" w:eastAsia="Times New Roman" w:hAnsi="Times New Roman"/>
          <w:sz w:val="21"/>
          <w:szCs w:val="21"/>
          <w:color w:val="auto"/>
        </w:rPr>
      </w:pPr>
    </w:p>
    <w:p>
      <w:pPr>
        <w:ind w:left="640" w:firstLine="1293"/>
        <w:spacing w:after="0" w:line="285" w:lineRule="auto"/>
        <w:tabs>
          <w:tab w:leader="none" w:pos="246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such Advance which is to be converted into or continued as a Term SOFR Advance and the duration of the Interest Period applicable thereto.</w:t>
      </w:r>
    </w:p>
    <w:p>
      <w:pPr>
        <w:spacing w:after="0" w:line="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1"/>
          <w:szCs w:val="21"/>
          <w:color w:val="auto"/>
        </w:rPr>
        <w:t>After giving effect to all Advances, all conversions of Advances from one Type to another and all continuations of Advances of the same Type, there shall be no more than five (5) Interest Periods in effect hereunder.</w:t>
      </w:r>
    </w:p>
    <w:p>
      <w:pPr>
        <w:spacing w:after="0" w:line="141"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Notwithstanding anything to the contrary in this Agreement, any Lender may exchange, continue or roll over all or a portion of its Loans in connection with any refinancing, extension, loan modification or similar transaction permitted by the terms of this Agreement, pursuant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40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color w:val="auto"/>
        </w:rPr>
        <w:t>cashless settlement mechanism approved by the Borrower, the Administrative Agent and such Lender.</w:t>
      </w:r>
    </w:p>
    <w:p>
      <w:pPr>
        <w:spacing w:after="0" w:line="120"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2.10. </w:t>
      </w:r>
      <w:r>
        <w:rPr>
          <w:rFonts w:ascii="Times New Roman" w:cs="Times New Roman" w:eastAsia="Times New Roman" w:hAnsi="Times New Roman"/>
          <w:sz w:val="21"/>
          <w:szCs w:val="21"/>
          <w:u w:val="single" w:color="auto"/>
          <w:color w:val="auto"/>
        </w:rPr>
        <w:t>Interest Rates</w:t>
      </w:r>
      <w:r>
        <w:rPr>
          <w:rFonts w:ascii="Times New Roman" w:cs="Times New Roman" w:eastAsia="Times New Roman" w:hAnsi="Times New Roman"/>
          <w:sz w:val="21"/>
          <w:szCs w:val="21"/>
          <w:color w:val="auto"/>
        </w:rPr>
        <w:t xml:space="preserve">. Each Base Rate Advance (other than a Swing Line Loan) shall bear interest on the outstanding principal amount thereof, for each day from and including the date such Advance is made or is automatically converted from a Term SOFR Advance into a Base Rate Advance pursuant to Section 2.9, to but excluding the date it becomes due or is converted into a Term SOFR Advance pursuant to Section 2.9 hereof, at a rate per annum equal to the Base Rate for such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 Base Rate Advance is due as a result of an Event of Default or is otherwise outstanding during the continuance of an Event of Default, the Base Rate shall continue to apply thereto plus such other amounts as required under Section 2.11. Each Swing Line Loan shall bear interest on the outstanding principal amount thereof, for each day from and including the day such Swing Line Loan is made to but excluding the date it is paid, at a rate per annum equal to, at the Borrower’s option, the Base Rate for such day or the Term SOFR Swingline Rate. Changes in the rate of interest on that portion of any Advance maintained as a Base Rate Advance will take effect simultaneously with each change in the Alternate Base Rate. Each Term SOFR Advance shall bear interest on the outstanding principal amount thereof from and including the first day of the Interest Period applicable thereto to (but not including) the last day of such Interest Period at the interest rate determined by the Administrative Agent as applicable to such Term SOFR Advance based upon the Borrower’s selections under Sections 2.8 and 2.9 and the definition of Applicable Margin. No Interest Period may end after the Facility Termination Date.</w:t>
      </w:r>
    </w:p>
    <w:p>
      <w:pPr>
        <w:spacing w:after="0" w:line="1"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2.11. </w:t>
      </w:r>
      <w:r>
        <w:rPr>
          <w:rFonts w:ascii="Times New Roman" w:cs="Times New Roman" w:eastAsia="Times New Roman" w:hAnsi="Times New Roman"/>
          <w:sz w:val="21"/>
          <w:szCs w:val="21"/>
          <w:u w:val="single" w:color="auto"/>
          <w:color w:val="auto"/>
        </w:rPr>
        <w:t>Rates Applicable After Event of Default</w:t>
      </w:r>
      <w:r>
        <w:rPr>
          <w:rFonts w:ascii="Times New Roman" w:cs="Times New Roman" w:eastAsia="Times New Roman" w:hAnsi="Times New Roman"/>
          <w:sz w:val="21"/>
          <w:szCs w:val="21"/>
          <w:color w:val="auto"/>
        </w:rPr>
        <w:t xml:space="preserve">. Notwithstanding anything to the contrary contained in Sections 2.8, 2.9 or 2.10, during the continuance of a Default or Event of Default the Required Lenders may, at their option, by notice from the Administrative Agent to the Borrower (which notice may be revoked at the option of the Required Lenders notwithstanding any provision of Section 8.3 requiring unanimous consent of the Lenders to changes in interest rates), declare that no Advance may be made as, converted into or continued as a Term SOFR Advance. During the continuance of an Event of Default the Required Lenders may, at their option, by notice from the Administrative Agent to the Borrower (which notice may be revoked at the option of the Required Lenders notwithstanding any provision of Section 8.3 requiring unanimous consent of the Lenders to changes in interest rates), (i) declare that each Term SOFR Advance shall bear interest for the remainder of the applicable Interest Period at the rate otherwise applicable to such Interest 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2.00% per annum, (ii) each Base Rate Advance shall bear interest at a rate per annum equal to the Base Rate in effect from time to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2.00% per annum, and (iii) the LC Fee shall be increased by 2.00% per annum,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during the continuance of an Event of Default under Sections 7.6 or 7.7, the interest rates set forth in clauses (i) and (ii) above and the increase in the LC Fee set forth in clause (iii) above shall be applicable automatically to all Credit Extensions without any election or action on the part of the Administrative Agent or any Lender. After an Event of Default has been waived, the interest rate applicable to advances and the LC Fee shall revert to the rates applicable prior to the occurrence of an Event of Default.</w:t>
      </w:r>
    </w:p>
    <w:p>
      <w:pPr>
        <w:spacing w:after="0" w:line="5" w:lineRule="exact"/>
        <w:rPr>
          <w:sz w:val="20"/>
          <w:szCs w:val="20"/>
          <w:color w:val="auto"/>
        </w:rPr>
      </w:pPr>
    </w:p>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 xml:space="preserve">2.12. </w:t>
      </w:r>
      <w:r>
        <w:rPr>
          <w:rFonts w:ascii="Times New Roman" w:cs="Times New Roman" w:eastAsia="Times New Roman" w:hAnsi="Times New Roman"/>
          <w:sz w:val="21"/>
          <w:szCs w:val="21"/>
          <w:u w:val="single" w:color="auto"/>
          <w:color w:val="auto"/>
        </w:rPr>
        <w:t>Method of Payment</w:t>
      </w:r>
      <w:r>
        <w:rPr>
          <w:rFonts w:ascii="Times New Roman" w:cs="Times New Roman" w:eastAsia="Times New Roman" w:hAnsi="Times New Roman"/>
          <w:sz w:val="21"/>
          <w:szCs w:val="21"/>
          <w:color w:val="auto"/>
        </w:rPr>
        <w:t>. Each Advance shall be repaid and each payment of interest thereon shall be paid in Dollars. All payments of the Obligations under this Agreement and the other Loan Documents shall be made, without setoff, deduction, or counterclaim, in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409"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21"/>
          <w:szCs w:val="21"/>
          <w:color w:val="auto"/>
        </w:rPr>
        <w:t>available funds to the Administrative Agent at the Administrative Agent’s address specified pursuant to Article XIII, or at any other Lending Installation of the Administrative Agent specified in writing by the Administrative Agent to the Borrower, by 12:00 noon (Chicago time) on the date when due and shall (except (i) with respect to repayments of Swing Line Loans, (ii) in the case of Reimbursement Obligations for which the LC Issuer has not been fully indemnified by the Lenders, or (iii) as otherwise specifically required hereunder)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its address specified pursuant to Article XIII or at any Lending Installation specified in a notice received by the Administrative Agent from such Lender. The Administrative Agent is hereby authorized to charge the account of the Borrower maintained with U.S. Bank for each payment of principal, interest, Reimbursement Obligations and fees as it becomes due hereunder. Each reference to the Administrative Agent in this Section 2.12 shall also be deemed to refer, and shall apply equally, to the LC Issuer, in the case of payments required to be made by the Borrower to the LC Issuer pursuant to Section 2.19(f).</w:t>
      </w:r>
    </w:p>
    <w:p>
      <w:pPr>
        <w:spacing w:after="0" w:line="9" w:lineRule="exact"/>
        <w:rPr>
          <w:sz w:val="20"/>
          <w:szCs w:val="20"/>
          <w:color w:val="auto"/>
        </w:rPr>
      </w:pPr>
    </w:p>
    <w:p>
      <w:pPr>
        <w:jc w:val="both"/>
        <w:ind w:firstLine="642"/>
        <w:spacing w:after="0" w:line="263" w:lineRule="auto"/>
        <w:rPr>
          <w:sz w:val="20"/>
          <w:szCs w:val="20"/>
          <w:color w:val="auto"/>
        </w:rPr>
      </w:pPr>
      <w:r>
        <w:rPr>
          <w:rFonts w:ascii="Times New Roman" w:cs="Times New Roman" w:eastAsia="Times New Roman" w:hAnsi="Times New Roman"/>
          <w:sz w:val="21"/>
          <w:szCs w:val="21"/>
          <w:color w:val="auto"/>
        </w:rPr>
        <w:t xml:space="preserve">2.13. </w:t>
      </w:r>
      <w:r>
        <w:rPr>
          <w:rFonts w:ascii="Times New Roman" w:cs="Times New Roman" w:eastAsia="Times New Roman" w:hAnsi="Times New Roman"/>
          <w:sz w:val="21"/>
          <w:szCs w:val="21"/>
          <w:u w:val="single" w:color="auto"/>
          <w:color w:val="auto"/>
        </w:rPr>
        <w:t>Noteless Agreement; Evidence of Indebtedness</w:t>
      </w:r>
      <w:r>
        <w:rPr>
          <w:rFonts w:ascii="Times New Roman" w:cs="Times New Roman" w:eastAsia="Times New Roman" w:hAnsi="Times New Roman"/>
          <w:sz w:val="21"/>
          <w:szCs w:val="21"/>
          <w:color w:val="auto"/>
        </w:rPr>
        <w:t>. (a) 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236" w:lineRule="exact"/>
        <w:rPr>
          <w:sz w:val="20"/>
          <w:szCs w:val="20"/>
          <w:color w:val="auto"/>
        </w:rPr>
      </w:pPr>
    </w:p>
    <w:p>
      <w:pPr>
        <w:jc w:val="both"/>
        <w:ind w:firstLine="1291"/>
        <w:spacing w:after="0" w:line="259" w:lineRule="auto"/>
        <w:tabs>
          <w:tab w:leader="none" w:pos="1817"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also maintain accounts in which it will record (i) the amount of each Loan made hereunder and Type thereof and the Interest Period with respect thereto, (ii) the amount of any principal or interest due and payable or to become due and payable from the Borrower to each Lender hereunder, (iii) the original stated amount of each Facility LC and the amount of LC Obligations outstanding at any time, and (iv) the amount of any sum received by the Administrative Agent hereunder from the Borrower and each Lender’s share thereof.</w:t>
      </w:r>
    </w:p>
    <w:p>
      <w:pPr>
        <w:spacing w:after="0" w:line="166" w:lineRule="exact"/>
        <w:rPr>
          <w:rFonts w:ascii="Times New Roman" w:cs="Times New Roman" w:eastAsia="Times New Roman" w:hAnsi="Times New Roman"/>
          <w:sz w:val="21"/>
          <w:szCs w:val="21"/>
          <w:color w:val="auto"/>
        </w:rPr>
      </w:pPr>
    </w:p>
    <w:p>
      <w:pPr>
        <w:jc w:val="both"/>
        <w:ind w:firstLine="1291"/>
        <w:spacing w:after="0" w:line="270" w:lineRule="auto"/>
        <w:tabs>
          <w:tab w:leader="none" w:pos="1809"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entries maintained in the accounts maintained pursuant to paragraphs (a) and (b) above shall be </w:t>
      </w:r>
      <w:r>
        <w:rPr>
          <w:rFonts w:ascii="Times New Roman" w:cs="Times New Roman" w:eastAsia="Times New Roman" w:hAnsi="Times New Roman"/>
          <w:sz w:val="21"/>
          <w:szCs w:val="21"/>
          <w:i w:val="1"/>
          <w:iCs w:val="1"/>
          <w:color w:val="auto"/>
        </w:rPr>
        <w:t>prima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facie </w:t>
      </w:r>
      <w:r>
        <w:rPr>
          <w:rFonts w:ascii="Times New Roman" w:cs="Times New Roman" w:eastAsia="Times New Roman" w:hAnsi="Times New Roman"/>
          <w:sz w:val="21"/>
          <w:szCs w:val="21"/>
          <w:color w:val="auto"/>
        </w:rPr>
        <w:t>evidence of the existence and amounts of the Obligations therein recorded;</w:t>
      </w:r>
      <w:r>
        <w:rPr>
          <w:rFonts w:ascii="Times New Roman" w:cs="Times New Roman" w:eastAsia="Times New Roman" w:hAnsi="Times New Roman"/>
          <w:sz w:val="21"/>
          <w:szCs w:val="21"/>
          <w:i w:val="1"/>
          <w:iCs w:val="1"/>
          <w:color w:val="auto"/>
        </w:rPr>
        <w:t xml:space="preserve"> provided, however</w:t>
      </w:r>
      <w:r>
        <w:rPr>
          <w:rFonts w:ascii="Times New Roman" w:cs="Times New Roman" w:eastAsia="Times New Roman" w:hAnsi="Times New Roman"/>
          <w:sz w:val="21"/>
          <w:szCs w:val="21"/>
          <w:color w:val="auto"/>
        </w:rPr>
        <w:t>, that the failure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or any Lender to maintain such accounts or any error therein shall not in any manner affect the obligation of the Borrower to repay the Obligations in accordance with their terms.</w:t>
      </w:r>
    </w:p>
    <w:p>
      <w:pPr>
        <w:spacing w:after="0" w:line="161" w:lineRule="exact"/>
        <w:rPr>
          <w:rFonts w:ascii="Times New Roman" w:cs="Times New Roman" w:eastAsia="Times New Roman" w:hAnsi="Times New Roman"/>
          <w:sz w:val="21"/>
          <w:szCs w:val="21"/>
          <w:color w:val="auto"/>
        </w:rPr>
      </w:pPr>
    </w:p>
    <w:p>
      <w:pPr>
        <w:jc w:val="both"/>
        <w:ind w:firstLine="1291"/>
        <w:spacing w:after="0" w:line="264" w:lineRule="auto"/>
        <w:tabs>
          <w:tab w:leader="none" w:pos="175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(including the Swing Line Lender) may request that its Loans be evidenced by a promissory note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(with appropriate changes for notes evidencing Swing Line Loans) (each a “Note”). In such event, the Borrower shall prepare, execute and deliver to such Lender such Note or Notes payable to the order of such Lender in a form supplied by the Administrative Agent.</w:t>
      </w:r>
    </w:p>
    <w:p>
      <w:pPr>
        <w:spacing w:after="0" w:line="168"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1"/>
          <w:szCs w:val="21"/>
          <w:color w:val="auto"/>
        </w:rPr>
        <w:t xml:space="preserve">2.14. </w:t>
      </w:r>
      <w:r>
        <w:rPr>
          <w:rFonts w:ascii="Times New Roman" w:cs="Times New Roman" w:eastAsia="Times New Roman" w:hAnsi="Times New Roman"/>
          <w:sz w:val="21"/>
          <w:szCs w:val="21"/>
          <w:u w:val="single" w:color="auto"/>
          <w:color w:val="auto"/>
        </w:rPr>
        <w:t>Telephonic Notices</w:t>
      </w:r>
      <w:r>
        <w:rPr>
          <w:rFonts w:ascii="Times New Roman" w:cs="Times New Roman" w:eastAsia="Times New Roman" w:hAnsi="Times New Roman"/>
          <w:sz w:val="21"/>
          <w:szCs w:val="21"/>
          <w:color w:val="auto"/>
        </w:rPr>
        <w:t>. The Borrower hereby authorizes the Lenders and the Administrative Agent to extend, convert or continue Advances, effect selections of Types of Advances and to transfer funds based on telephonic notices made by any Person or Persons the Administrative Agent or any Lender in good faith believes to be acting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409"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21"/>
          <w:szCs w:val="21"/>
          <w:color w:val="auto"/>
        </w:rPr>
        <w:t>Borrower, it being understood that the foregoing authorization is specifically intended to allow Borrowing Notices, Swing Line Borrowing Notices and Conversion/Continuation Notices to be given telephonically. The Borrower agrees to deliver promptly to the Administrative Agent a written confirmation (which may include e-mail) of each telephonic notice authenticated by an Authorized Officer. If the written confirmation differs in any material respect from the action taken by the Administrative Agent and the Lenders, the records of the Administrative Agent and the Lenders shall govern absent manifest error. The parties agree to prepare appropriate documentation to correct any such error within ten (10) days after discovery by any party to this Agreement.</w:t>
      </w:r>
    </w:p>
    <w:p>
      <w:pPr>
        <w:spacing w:after="0" w:line="4"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2.15. </w:t>
      </w:r>
      <w:r>
        <w:rPr>
          <w:rFonts w:ascii="Times New Roman" w:cs="Times New Roman" w:eastAsia="Times New Roman" w:hAnsi="Times New Roman"/>
          <w:sz w:val="21"/>
          <w:szCs w:val="21"/>
          <w:u w:val="single" w:color="auto"/>
          <w:color w:val="auto"/>
        </w:rPr>
        <w:t>Interest Payment Dates; Interest and Fee Basis</w:t>
      </w:r>
      <w:r>
        <w:rPr>
          <w:rFonts w:ascii="Times New Roman" w:cs="Times New Roman" w:eastAsia="Times New Roman" w:hAnsi="Times New Roman"/>
          <w:sz w:val="21"/>
          <w:szCs w:val="21"/>
          <w:color w:val="auto"/>
        </w:rPr>
        <w:t>. Interest accrued on each Base Rate Advance and each Swing Line Loan shall be payable on each Payment Date, commencing with the first such Payment Date to occur after the date hereof and at maturity. Interest accrued on each Term SOFR Advance shall be payable on the last day of its applicable Interest Period, on any date on which the Term SOFR Advance is prepaid, whether by acceleration or otherwise, and at maturity. Interest accrued on each Term SOFR Advance having an Interest Period longer than three (3) months shall also be payable on the last day of each three-month interval during such Interest Period. Interest accrued pursuant to Section 2.11 shall be payable on demand. Interest on all Advances and fees shall be calculated for actual days elapsed on the basis of a 360-day year, except that interest computed by reference to the Alternate Base Rate shall be calculated for actual days elapsed on the basis of a 365/366-day year. Interest shall be payable for the day an Advance is made but not for the day of any payment on the amount paid if payment is received prior to 12:00 noon (Chicago time) at the place of payment. If any payment of principal of or interest on an Advance shall become due on a day (other than a Payment Date) which is not a Business Day, such payment shall be made on the next succeeding Business Day unless such succeeding Business Day falls in a new calendar month, in which case such interest or principal shall be payable on the immediately preceding Business Day.</w:t>
      </w:r>
    </w:p>
    <w:p>
      <w:pPr>
        <w:spacing w:after="0" w:line="8"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2.16. </w:t>
      </w:r>
      <w:r>
        <w:rPr>
          <w:rFonts w:ascii="Times New Roman" w:cs="Times New Roman" w:eastAsia="Times New Roman" w:hAnsi="Times New Roman"/>
          <w:sz w:val="21"/>
          <w:szCs w:val="21"/>
          <w:u w:val="single" w:color="auto"/>
          <w:color w:val="auto"/>
        </w:rPr>
        <w:t>Notification of Advances, Interest Rates, Prepayments and Commitment Reductions</w:t>
      </w:r>
      <w:r>
        <w:rPr>
          <w:rFonts w:ascii="Times New Roman" w:cs="Times New Roman" w:eastAsia="Times New Roman" w:hAnsi="Times New Roman"/>
          <w:sz w:val="21"/>
          <w:szCs w:val="21"/>
          <w:color w:val="auto"/>
        </w:rPr>
        <w:t>. Promptly after receipt thereof, the Administrative Agent will notify each Lender of the contents of each Commitment reduction notice, Borrowing Notice, Swing Line Borrowing Notice, Conversion/Continuation Notice, and repayment notice received by it hereunder. Promptly after notice from the LC Issuer, the Administrative Agent will notify each Lender of the contents of each request for issuance of a Facility LC hereunder. The Administrative Agent will notify each Lender of the interest rate applicable to each Term SOFR Advance promptly upon determination of such interest rate and will give each Lender prompt notice of each change in the Alternate Base Rate.</w:t>
      </w:r>
    </w:p>
    <w:p>
      <w:pPr>
        <w:spacing w:after="0" w:line="5"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2.17. </w:t>
      </w:r>
      <w:r>
        <w:rPr>
          <w:rFonts w:ascii="Times New Roman" w:cs="Times New Roman" w:eastAsia="Times New Roman" w:hAnsi="Times New Roman"/>
          <w:sz w:val="21"/>
          <w:szCs w:val="21"/>
          <w:u w:val="single" w:color="auto"/>
          <w:color w:val="auto"/>
        </w:rPr>
        <w:t>Lending Installations</w:t>
      </w:r>
      <w:r>
        <w:rPr>
          <w:rFonts w:ascii="Times New Roman" w:cs="Times New Roman" w:eastAsia="Times New Roman" w:hAnsi="Times New Roman"/>
          <w:sz w:val="21"/>
          <w:szCs w:val="21"/>
          <w:color w:val="auto"/>
        </w:rPr>
        <w:t>. Each Lender may book its Advances and its participation in any LC Obligations and the LC Issuer may book the Facility LCs at any Lending Installation selected by such Lender or the LC Issuer, as the case may be, and may change its Lending Installation from time to time. All terms of this Agreement shall apply to any such Lending Installation and the Loans, Facility LCs, participations in LC Obligations and any Notes issued hereunder shall be deemed held by each Lender or the LC Issuer, as the case may be, for the benefit of any such Lending Installation. Each Lender and the LC Issuer may, by written notice to the Administrative Agent and the Borrower in accordance with Article XIII, designate replacement or additional Lending Installations through which Loans will be made by 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409" w:right="339" w:bottom="1440" w:gutter="0" w:footer="0" w:header="0"/>
        </w:sectPr>
      </w:pPr>
    </w:p>
    <w:bookmarkStart w:id="47" w:name="page48"/>
    <w:bookmarkEnd w:id="47"/>
    <w:p>
      <w:pPr>
        <w:jc w:val="both"/>
        <w:ind w:left="640" w:hanging="641"/>
        <w:spacing w:after="0" w:line="264" w:lineRule="auto"/>
        <w:rPr>
          <w:sz w:val="20"/>
          <w:szCs w:val="20"/>
          <w:color w:val="auto"/>
        </w:rPr>
      </w:pPr>
      <w:r>
        <w:rPr>
          <w:rFonts w:ascii="Times New Roman" w:cs="Times New Roman" w:eastAsia="Times New Roman" w:hAnsi="Times New Roman"/>
          <w:sz w:val="21"/>
          <w:szCs w:val="21"/>
          <w:color w:val="auto"/>
        </w:rPr>
        <w:t xml:space="preserve">Facility LCs will be issued by it and for whose account Loan payments or payments with respect to Facility LCs are to be made. 2.18. </w:t>
      </w:r>
      <w:r>
        <w:rPr>
          <w:rFonts w:ascii="Times New Roman" w:cs="Times New Roman" w:eastAsia="Times New Roman" w:hAnsi="Times New Roman"/>
          <w:sz w:val="21"/>
          <w:szCs w:val="21"/>
          <w:u w:val="single" w:color="auto"/>
          <w:color w:val="auto"/>
        </w:rPr>
        <w:t>Non-Receipt of Funds by the Administrative Agent</w:t>
      </w:r>
      <w:r>
        <w:rPr>
          <w:rFonts w:ascii="Times New Roman" w:cs="Times New Roman" w:eastAsia="Times New Roman" w:hAnsi="Times New Roman"/>
          <w:sz w:val="21"/>
          <w:szCs w:val="21"/>
          <w:color w:val="auto"/>
        </w:rPr>
        <w:t>. Unless the Borrower or a Lender, as the case may be, notifies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the Administrative Agent prior to the date on which it is scheduled to make payment to the Administrative Agent of (i) in the case of a Lender, the proceeds of a Loan or (ii) in the case of the Borrower, a payment of principal, interest or fees to the Administrative Agent for the account of the Lenders, that it does not intend to make such payment, the Administrative Agent may assume that such payment has been made. The Administrative Agent may, but shall not be obligated to, make the amount of such payment available to the intended recipient in reliance upon such assumption. If such Lender or the Borrower, as the case may be, has not in fact made such payment to the Administrative Agent, the recipient of such payment shall, on demand by the Administrative Agent, repay to the Administrative Agent the amount so made available together with interest thereon in respect of each day during the period commencing on the date such amount was so made available by the Administrative Agent until the date the Administrative Agent recovers such amount at a rate per annum equal to (x) in the case of payment by a Lender, the greater of the Federal Funds Effective Rate and a rate determined by the Administrative Agent in accordance with banking industry rules on interbank compensation or (y) in the case of payment by the Borrower, the interest rate applicable to the relevant Loan.</w:t>
      </w:r>
    </w:p>
    <w:p>
      <w:pPr>
        <w:spacing w:after="0" w:line="1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2.19.</w:t>
      </w:r>
      <w:r>
        <w:rPr>
          <w:sz w:val="20"/>
          <w:szCs w:val="20"/>
          <w:color w:val="auto"/>
        </w:rPr>
        <w:tab/>
      </w:r>
      <w:r>
        <w:rPr>
          <w:rFonts w:ascii="Times New Roman" w:cs="Times New Roman" w:eastAsia="Times New Roman" w:hAnsi="Times New Roman"/>
          <w:sz w:val="21"/>
          <w:szCs w:val="21"/>
          <w:u w:val="single" w:color="auto"/>
          <w:color w:val="auto"/>
        </w:rPr>
        <w:t>Facility LCs</w:t>
      </w:r>
      <w:r>
        <w:rPr>
          <w:rFonts w:ascii="Times New Roman" w:cs="Times New Roman" w:eastAsia="Times New Roman" w:hAnsi="Times New Roman"/>
          <w:sz w:val="21"/>
          <w:szCs w:val="21"/>
          <w:color w:val="auto"/>
        </w:rPr>
        <w:t>.</w:t>
      </w:r>
    </w:p>
    <w:p>
      <w:pPr>
        <w:spacing w:after="0" w:line="55" w:lineRule="exact"/>
        <w:rPr>
          <w:sz w:val="20"/>
          <w:szCs w:val="20"/>
          <w:color w:val="auto"/>
        </w:rPr>
      </w:pPr>
    </w:p>
    <w:p>
      <w:pPr>
        <w:jc w:val="both"/>
        <w:ind w:firstLine="1291"/>
        <w:spacing w:after="0" w:line="257" w:lineRule="auto"/>
        <w:tabs>
          <w:tab w:leader="none" w:pos="184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w:t>
      </w:r>
      <w:r>
        <w:rPr>
          <w:rFonts w:ascii="Times New Roman" w:cs="Times New Roman" w:eastAsia="Times New Roman" w:hAnsi="Times New Roman"/>
          <w:sz w:val="21"/>
          <w:szCs w:val="21"/>
          <w:color w:val="auto"/>
        </w:rPr>
        <w:t xml:space="preserve">. The LC Issuer hereby agrees, on the terms and conditions set forth in this Agreement, to issue standby letters of credit denominated in Dollars (each, a “Facility LC”) and to renew, extend, increase, decrease or otherwise modify each Facility LC (“Modify”, and each such action a “Modification”), from time to time from and including the date of this Agreement and prior to the Facility Termination Date upon the request of the Borrower;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immediately after each such Facility LC is issued or Modified, (i) the aggregate amount of the outstanding LC Obligations shall not exceed $50,000,000, and</w:t>
      </w:r>
    </w:p>
    <w:p>
      <w:pPr>
        <w:spacing w:after="0" w:line="2" w:lineRule="exact"/>
        <w:rPr>
          <w:rFonts w:ascii="Times New Roman" w:cs="Times New Roman" w:eastAsia="Times New Roman" w:hAnsi="Times New Roman"/>
          <w:sz w:val="21"/>
          <w:szCs w:val="21"/>
          <w:color w:val="auto"/>
        </w:rPr>
      </w:pPr>
    </w:p>
    <w:p>
      <w:pPr>
        <w:jc w:val="both"/>
        <w:ind w:firstLine="7"/>
        <w:spacing w:after="0" w:line="257" w:lineRule="auto"/>
        <w:tabs>
          <w:tab w:leader="none" w:pos="32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Outstanding Credit Exposure shall not exceed the Aggregate Commitment. The Existing Letters of Credit shall be deemed to have been issued pursuant hereto, shall constitute Facility LCs on and after the Effective Date, and shall be subject to the terms and conditions hereof. No Facility LC shall have an expiry date later than the earlier to occur of (x) the fifth Business Day prior to the Facility Termination Date and (y) one (1) year after its issuance;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expiry date of a Facility LC may be up to one (1) year later than the fifth Business Day prior to the Facility Termination Date if the Borrower has posted on or before the fifth Business Day prior to the Facility Termination Date cash collateral in the Facility LC Collateral Account on terms satisfactory to the Administrative Agent in an amount equal to 105% of the LC Obligations with respect to such Facility LC. Notwithstanding anything herein to the contrary, the LC Issuer shall have no obligation hereunder to issue any Facility LC the proceeds of which would be made available to any Person (i) to fund any activity or business of, with, or for the benefit of any Sanctioned Person, or in any country or territory that, at the time of such funding, is the subject of any Sanctions, except to the extent permissible for a Person organized under the Laws of the United States of America or a political subdivision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409" w:right="339" w:bottom="1440" w:gutter="0" w:footer="0" w:header="0"/>
        </w:sectPr>
      </w:pPr>
    </w:p>
    <w:bookmarkStart w:id="48" w:name="page49"/>
    <w:bookmarkEnd w:id="48"/>
    <w:p>
      <w:pPr>
        <w:spacing w:after="0" w:line="279" w:lineRule="auto"/>
        <w:rPr>
          <w:sz w:val="20"/>
          <w:szCs w:val="20"/>
          <w:color w:val="auto"/>
        </w:rPr>
      </w:pPr>
      <w:r>
        <w:rPr>
          <w:rFonts w:ascii="Times New Roman" w:cs="Times New Roman" w:eastAsia="Times New Roman" w:hAnsi="Times New Roman"/>
          <w:sz w:val="21"/>
          <w:szCs w:val="21"/>
          <w:color w:val="auto"/>
        </w:rPr>
        <w:t>otherwise constituting a citizen thereof, or (ii) in any manner that would result in a violation of any Sanctions by any party to this Agreement.</w:t>
      </w:r>
    </w:p>
    <w:p>
      <w:pPr>
        <w:jc w:val="both"/>
        <w:ind w:firstLine="1291"/>
        <w:spacing w:after="0" w:line="266" w:lineRule="auto"/>
        <w:tabs>
          <w:tab w:leader="none" w:pos="181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Upon the issuance or Modification by the LC Issuer of a Facility LC, the LC Issuer shall be deemed, without further action by any party hereto, to have unconditionally and irrevocably sold to each Lender, and each Lender shall be deemed, without further action by any party hereto, to have unconditionally and irrevocably purchased from the LC Issuer, a participation in such Facility LC (and each Modification thereof) and the related LC Obligations in proportion to its Pro Rata Share.</w:t>
      </w:r>
    </w:p>
    <w:p>
      <w:pPr>
        <w:spacing w:after="0" w:line="237" w:lineRule="exact"/>
        <w:rPr>
          <w:rFonts w:ascii="Times New Roman" w:cs="Times New Roman" w:eastAsia="Times New Roman" w:hAnsi="Times New Roman"/>
          <w:sz w:val="21"/>
          <w:szCs w:val="21"/>
          <w:color w:val="auto"/>
        </w:rPr>
      </w:pPr>
    </w:p>
    <w:p>
      <w:pPr>
        <w:jc w:val="both"/>
        <w:ind w:firstLine="1291"/>
        <w:spacing w:after="0" w:line="255" w:lineRule="auto"/>
        <w:tabs>
          <w:tab w:leader="none" w:pos="173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Subject to Section 2.19(a), the Borrower shall give the Administrative Agent notice prior to 10:00 a.m. (Chicago time) at least five (5) Business Days prior to the proposed date of issuance or Modification of each Facility LC, specifying the beneficiary, the proposed date of issuance (or Modification) and the expiry date of such Facility LC, and describing the proposed terms of such Facility LC and the nature of the transactions proposed to be supported thereby. Upon receipt of such notice, the Administrative Agent shall promptly notify the LC Issuer and each Lender of the contents thereof and of the amount of such Lender’s participation in such proposed Facility LC. The issuance or Modification by the LC Issuer of any Facility LC shall, in addition to the conditions precedent set forth in Article IV, be subject to the conditions precedent that such Facility LC shall be reasonably satisfactory to the LC Issuer and that the Borrower shall have executed and delivered such application agreement and/or such other instruments and agreements relating to such Facility LC as the LC Issuer shall have reasonably requested (each, a “Facility LC Application”). The LC Issuer shall have no independent duty to ascertain whether the conditions set forth in Article IV have been satisfied;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LC Issuer shall not issue a Facility LC if, on or before the proposed date of issuance, the LC Issuer shall have received notice from the Administrative Agent or the Required Lenders that any such condition has not been satisfied or waived. In the event of any conflict between the terms of this Agreement and the terms of any Facility LC Application, the terms of this Agreement shall control.</w:t>
      </w:r>
    </w:p>
    <w:p>
      <w:pPr>
        <w:spacing w:after="0" w:line="5" w:lineRule="exact"/>
        <w:rPr>
          <w:rFonts w:ascii="Times New Roman" w:cs="Times New Roman" w:eastAsia="Times New Roman" w:hAnsi="Times New Roman"/>
          <w:sz w:val="21"/>
          <w:szCs w:val="21"/>
          <w:color w:val="auto"/>
        </w:rPr>
      </w:pPr>
    </w:p>
    <w:p>
      <w:pPr>
        <w:jc w:val="both"/>
        <w:ind w:firstLine="1291"/>
        <w:spacing w:after="0" w:line="254" w:lineRule="auto"/>
        <w:tabs>
          <w:tab w:leader="none" w:pos="186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LC Fees</w:t>
      </w:r>
      <w:r>
        <w:rPr>
          <w:rFonts w:ascii="Times New Roman" w:cs="Times New Roman" w:eastAsia="Times New Roman" w:hAnsi="Times New Roman"/>
          <w:sz w:val="21"/>
          <w:szCs w:val="21"/>
          <w:color w:val="auto"/>
        </w:rPr>
        <w:t>. The Borrower shall pay to the Administrative Agent, for the account of the Lenders ratably in accordance with their respective Pro Rata Shares, with respect to each Facility LC, a letter of credit fee at a per annum rate equal to the Applicable Margin for Term SOFR Loans in effect from time to time on the average daily undrawn stated amount under such Facility LC, such fee to be payable in arrears on each Payment Date (the “LC Fee”). The Borrower shall also pay to the LC Issuer for its own account (x) a fronting fee in an amount equal to 0.125% per annum of the average daily undrawn stated amount under such Facility LC, such fee to be payable in arrears on each Payment Date and (y) on demand, all amendment, drawing and other fees regularly charged by the LC Issuer to its letter of credit customers and all reasonable out-of-pocket expenses incurred by the LC Issuer in connection with the issuance, Modification, administration or payment of any Facility LC.</w:t>
      </w:r>
    </w:p>
    <w:p>
      <w:pPr>
        <w:spacing w:after="0" w:line="1" w:lineRule="exact"/>
        <w:rPr>
          <w:rFonts w:ascii="Times New Roman" w:cs="Times New Roman" w:eastAsia="Times New Roman" w:hAnsi="Times New Roman"/>
          <w:sz w:val="21"/>
          <w:szCs w:val="21"/>
          <w:color w:val="auto"/>
        </w:rPr>
      </w:pPr>
    </w:p>
    <w:p>
      <w:pPr>
        <w:jc w:val="both"/>
        <w:ind w:firstLine="1291"/>
        <w:spacing w:after="0" w:line="257" w:lineRule="auto"/>
        <w:tabs>
          <w:tab w:leader="none" w:pos="176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Reimbursement by Lenders</w:t>
      </w:r>
      <w:r>
        <w:rPr>
          <w:rFonts w:ascii="Times New Roman" w:cs="Times New Roman" w:eastAsia="Times New Roman" w:hAnsi="Times New Roman"/>
          <w:sz w:val="21"/>
          <w:szCs w:val="21"/>
          <w:color w:val="auto"/>
        </w:rPr>
        <w:t>. Upon receipt of any demand for payment under any Facility LC from the beneficiary of such Facility LC, the LC Issuer shall notify the Administrative Agent and the Administrative Agent shall promptly notify the Borrower and each other Lender as to the amount to be paid by the LC Issuer as a result of such demand and the proposed payment date (the “LC Payment Date”). The responsibility of the LC Issuer to the Borrower and each Lender shall be only to determine that the documents (including each demand for payment) delivered under each Facility LC in connection with such presentment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409" w:right="33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shall be in conformity in all material respects with such Facility LC. The LC Issuer shall endeavor to exercise the same care in the issuance and administration of the Facility LCs as it does with respect to letters of credit in which no participations are granted, it being understood that in the absence of any gross negligence or willful misconduct by the LC Issuer, each Lender shall be unconditionally and irrevocably liable without regard to the occurrence of any Event of Default or any condition precedent whatsoever, to reimburse the LC Issuer on demand for (i) such Lender’s Pro Rata Share of the amount of each payment made by the LC Issuer under each Facility LC to the extent such amount is not reimbursed by the Borrower pursuant to Section 2.19(f) below and there are not funds available in the Facility LC Collateral Account to cover the same,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interest on the foregoing amount to be reimbursed by such Lender, for each day from the date of the LC Issuer’s demand for such reimbursement (or, if such demand is made after 11:00 a.m. (Chicago time) on such date, from the next succeeding Business Day) to the date on which such Lender pays the amount to be reimbursed by it at the greater of the Federal Funds Effective Rate and a rate determined by the Administrative Agent in accordance with banking industry rules on interbank compensation.</w:t>
      </w:r>
    </w:p>
    <w:p>
      <w:pPr>
        <w:spacing w:after="0" w:line="1" w:lineRule="exact"/>
        <w:rPr>
          <w:sz w:val="20"/>
          <w:szCs w:val="20"/>
          <w:color w:val="auto"/>
        </w:rPr>
      </w:pPr>
    </w:p>
    <w:p>
      <w:pPr>
        <w:jc w:val="both"/>
        <w:ind w:firstLine="1291"/>
        <w:spacing w:after="0" w:line="254" w:lineRule="auto"/>
        <w:tabs>
          <w:tab w:leader="none" w:pos="176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by Borrower</w:t>
      </w:r>
      <w:r>
        <w:rPr>
          <w:rFonts w:ascii="Times New Roman" w:cs="Times New Roman" w:eastAsia="Times New Roman" w:hAnsi="Times New Roman"/>
          <w:sz w:val="21"/>
          <w:szCs w:val="21"/>
          <w:color w:val="auto"/>
        </w:rPr>
        <w:t xml:space="preserve">. The Borrower shall be irrevocably and unconditionally obligated to reimburse the LC Issuer on or before the applicable LC Payment Date for any amounts to be paid by the LC Issuer upon any drawing under any Facility LC, without presentment, demand, protest or other formalities of any kind;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neither the Borrower nor any Lender shall hereby be precluded from asserting any claim for direct (but not consequential) damages suffered by the Borrower or such Lender to the extent, but only to the extent, caused by (i) the willful misconduct or gross negligence of the LC Issuer in determining whether a request presented under any Facility LC issued by it complied with the terms of such Facility LC or (ii) the LC Issuer’s failure to pay under any Facility LC issued by it after the presentation to it of a request strictly complying with the terms and conditions of such Facility LC. All such amounts paid by the LC Issuer and remaining unpaid by the Borrower shall bear interest, payable on demand, for each day until paid at a rate per annum equal to (x) the rate applicable to Base Rate Advances for such day if such day falls on or before the applicable LC Payment Date and (y) the sum of 2.00% per annum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rate applicable to Base Rate Advances for such day if such day falls after such LC Payment Date. The LC Issuer will pay to each Lender ratably in accordance with its Pro Rata Share all amounts received by it from the Borrower for application in payment, in whole or in part, of the Reimbursement Obligation in respect of any Facility LC issued by the LC Issuer, but only to the extent such Lender has made payment to the LC Issuer in respect of such Facility LC pursuant to Section 2.19(e). Subject to the terms and conditions of this Agreement (including the submission of a Swing Line Borrowing Notice or Borrowing Notice in compliance with Section 2.4 or Section 2.8, respectively, and the satisfaction of the applicable conditions precedent set forth in Article IV), the Borrower may request an Advance hereunder for the purpose of satisfying any Reimbursement Obligation.</w:t>
      </w:r>
    </w:p>
    <w:p>
      <w:pPr>
        <w:spacing w:after="0" w:line="15" w:lineRule="exact"/>
        <w:rPr>
          <w:rFonts w:ascii="Times New Roman" w:cs="Times New Roman" w:eastAsia="Times New Roman" w:hAnsi="Times New Roman"/>
          <w:sz w:val="21"/>
          <w:szCs w:val="21"/>
          <w:color w:val="auto"/>
        </w:rPr>
      </w:pPr>
    </w:p>
    <w:p>
      <w:pPr>
        <w:jc w:val="both"/>
        <w:ind w:firstLine="1291"/>
        <w:spacing w:after="0" w:line="259" w:lineRule="auto"/>
        <w:tabs>
          <w:tab w:leader="none" w:pos="1761"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The Borrower’s obligations under this Section 2.19 shall be absolute and unconditional under any and all circumstances and irrespective of any setoff, counterclaim or defense to payment which the Borrower may have or have had against the LC Issuer, any Lender or any beneficiary of a Facility LC. The Borrower further agrees with the LC Issuer and the Lenders that the LC Issuer and the Lenders shall not be responsible for, and the Borrower’s Reimbursement Obligation in respect of any Facility LC shall not be affected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409"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21"/>
          <w:szCs w:val="21"/>
          <w:color w:val="auto"/>
        </w:rPr>
        <w:t>among other things, the validity or genuineness of documents or of any endorsements thereon, even if such documents should in fact prove to be in any or all respects invalid, fraudulent or forged, or any dispute between or among the Borrower, any of its Affiliates, the beneficiary of any Facility LC or any financing institution or other party to whom any Facility LC may be transferred or any claims or defenses whatsoever of the Borrower or of any of its Affiliates against the beneficiary of any Facility LC or any such transferee. The LC Issuer shall not be liable for any error, omission, interruption or delay in transmission, dispatch or delivery of any message or advice, however transmitted, in connection with any Facility LC. The Borrower agrees that any action taken or omitted by the LC Issuer or any Lender under or in connection with each Facility LC and the related drafts and documents, if done without gross negligence or willful misconduct, shall be binding upon the Borrower and shall not put the LC Issuer or any Lender under any liability to the Borrower. No LC Issuer shall be responsible to the Borrower for, and no LC Issuer’s rights and remedies against the Borrower shall be impaired by, any action or inaction of such LC Issuer required, or reasonably believed by such LC Issuer in good faith to be required, under any Law, order, or practice that is required or permitted to be applied to any Facility LC or this Agreement, including (i) the Laws or any order of a jurisdiction where such Facility LC or the beneficiary is located or (ii)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Facility LC chooses such Laws or practice rules. Nothing in this Section 2.19(g) is intended to limit the right of the Borrower to make a claim against the LC Issuer for damages as contemplated by the proviso to the first sentence of Section 2.19(f).</w:t>
      </w:r>
    </w:p>
    <w:p>
      <w:pPr>
        <w:spacing w:after="0" w:line="5" w:lineRule="exact"/>
        <w:rPr>
          <w:sz w:val="20"/>
          <w:szCs w:val="20"/>
          <w:color w:val="auto"/>
        </w:rPr>
      </w:pPr>
    </w:p>
    <w:p>
      <w:pPr>
        <w:jc w:val="both"/>
        <w:ind w:firstLine="1291"/>
        <w:spacing w:after="0" w:line="254" w:lineRule="auto"/>
        <w:tabs>
          <w:tab w:leader="none" w:pos="1761"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Actions of LC Issuer</w:t>
      </w:r>
      <w:r>
        <w:rPr>
          <w:rFonts w:ascii="Times New Roman" w:cs="Times New Roman" w:eastAsia="Times New Roman" w:hAnsi="Times New Roman"/>
          <w:sz w:val="21"/>
          <w:szCs w:val="21"/>
          <w:color w:val="auto"/>
        </w:rPr>
        <w:t>. The LC Issuer shall be entitled to rely, and shall be fully protected in relying, upon any Facility LC, draft, writing, resolution, notice, consent, certificate, affidavit, letter, or electronic mail message, statement, order or other document believed by it to be genuine and correct and to have been signed, sent or made by the proper Person or Persons, and upon advice and statements of legal counsel, independent accountants and other experts selected by the LC Issuer. The LC Issuer shall be fully justified in failing or refusing to take any action under this Agreement unless it shall first have received such advice or concurrence of the Required Lenders as it reasonably deems appropriate or it shall first be indemnified to its reasonable satisfaction by the Lenders against any and all liability and expense which may be incurred by it by reason of taking or continuing to take any such action. Notwithstanding any other provision of this Section 2.19, the LC Issuer shall in all cases be fully protected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spacing w:after="0" w:line="10" w:lineRule="exact"/>
        <w:rPr>
          <w:rFonts w:ascii="Times New Roman" w:cs="Times New Roman" w:eastAsia="Times New Roman" w:hAnsi="Times New Roman"/>
          <w:sz w:val="21"/>
          <w:szCs w:val="21"/>
          <w:color w:val="auto"/>
        </w:rPr>
      </w:pPr>
    </w:p>
    <w:p>
      <w:pPr>
        <w:jc w:val="both"/>
        <w:ind w:firstLine="1291"/>
        <w:spacing w:after="0" w:line="258" w:lineRule="auto"/>
        <w:tabs>
          <w:tab w:leader="none" w:pos="172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Borrower hereby agrees to indemnify and hold harmless each Lender, the LC Issuer and the Administrative Agent, and their respective directors, officers, agents and employees from and against any and all claims and damages, losses, liabilities, costs or expenses (including reasonable counsel fees and disbursements) which such Lender, the LC Issuer or the Administrative Agent may incur (or which may be claimed against such Lender, the LC Issuer or the Administrative Agent by any Person whatsoever) by reason of or in connection with the issuance, execution and delivery or transfer of or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409"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failure to pay under any Facility LC or any actual or proposed use of any Facility LC, including any claims, damages, losses, liabilities, costs or expenses (including reasonable counsel fees and disbursements) which the LC Issuer may incur (i) by reason of or in connection with the failure of any other Lender to fulfill or comply with its obligations to the LC Issuer hereunder (but nothing herein contained shall affect any rights the Borrower may have against any Defaulting Lender) or (ii) by reason of or on account of the LC Issuer issuing any Facility LC which specifies that the term “Beneficiary” included therein includes any successor by operation of law of the named Beneficiary, but which Facility LC does not require that any drawing by any such successor Beneficiary be accompanied by a copy of a legal document, satisfactory to the LC Issuer, evidencing the appointment of such successor Beneficiary;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not be required to indemnify any Lender, the LC Issuer or the Administrative Agent for any claims, damages, losses, liabilities, costs or expenses to the extent, but only to the extent, caused by</w:t>
      </w:r>
    </w:p>
    <w:p>
      <w:pPr>
        <w:spacing w:after="0" w:line="1" w:lineRule="exact"/>
        <w:rPr>
          <w:sz w:val="20"/>
          <w:szCs w:val="20"/>
          <w:color w:val="auto"/>
        </w:rPr>
      </w:pPr>
    </w:p>
    <w:p>
      <w:pPr>
        <w:jc w:val="both"/>
        <w:ind w:firstLine="7"/>
        <w:spacing w:after="0" w:line="252" w:lineRule="auto"/>
        <w:tabs>
          <w:tab w:leader="none" w:pos="31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willful misconduct or gross negligence of the LC Issuer in determining whether a request presented under any Facility LC complied with the terms of such Facility LC or (y) the LC Issuer’s failure to pay under any Facility LC after the presentation to it of a request strictly complying with the terms and conditions of such Facility LC. Nothing in this Section 2.19(i) is intended to limit the obligations of the Borrower under any other provision of this Agreement.</w:t>
      </w:r>
    </w:p>
    <w:p>
      <w:pPr>
        <w:spacing w:after="0" w:line="2" w:lineRule="exact"/>
        <w:rPr>
          <w:rFonts w:ascii="Times New Roman" w:cs="Times New Roman" w:eastAsia="Times New Roman" w:hAnsi="Times New Roman"/>
          <w:sz w:val="21"/>
          <w:szCs w:val="21"/>
          <w:color w:val="auto"/>
        </w:rPr>
      </w:pPr>
    </w:p>
    <w:p>
      <w:pPr>
        <w:jc w:val="both"/>
        <w:ind w:firstLine="1291"/>
        <w:spacing w:after="0" w:line="259" w:lineRule="auto"/>
        <w:tabs>
          <w:tab w:leader="none" w:pos="1713"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Lenders’ Indemnification</w:t>
      </w:r>
      <w:r>
        <w:rPr>
          <w:rFonts w:ascii="Times New Roman" w:cs="Times New Roman" w:eastAsia="Times New Roman" w:hAnsi="Times New Roman"/>
          <w:sz w:val="21"/>
          <w:szCs w:val="21"/>
          <w:color w:val="auto"/>
        </w:rPr>
        <w:t>. Each Lender shall, ratably in accordance with its Pro Rata Share, indemnify the LC Issuer,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the LC Issuer’s failure to pay under any Facility LC after the presentation to it of a request strictly complying with the terms and conditions of the Facility LC) that such indemnitees may suffer or incur in connection with this Section 2.19 or any action taken or omitted by such indemnitees hereunder.</w:t>
      </w:r>
    </w:p>
    <w:p>
      <w:pPr>
        <w:spacing w:after="0" w:line="241" w:lineRule="exact"/>
        <w:rPr>
          <w:rFonts w:ascii="Times New Roman" w:cs="Times New Roman" w:eastAsia="Times New Roman" w:hAnsi="Times New Roman"/>
          <w:sz w:val="21"/>
          <w:szCs w:val="21"/>
          <w:color w:val="auto"/>
        </w:rPr>
      </w:pPr>
    </w:p>
    <w:p>
      <w:pPr>
        <w:jc w:val="both"/>
        <w:ind w:firstLine="1291"/>
        <w:spacing w:after="0" w:line="255" w:lineRule="auto"/>
        <w:tabs>
          <w:tab w:leader="none" w:pos="1774"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Facility LC Collateral Account</w:t>
      </w:r>
      <w:r>
        <w:rPr>
          <w:rFonts w:ascii="Times New Roman" w:cs="Times New Roman" w:eastAsia="Times New Roman" w:hAnsi="Times New Roman"/>
          <w:sz w:val="21"/>
          <w:szCs w:val="21"/>
          <w:color w:val="auto"/>
        </w:rPr>
        <w:t>. If an Event of Default has occurred and is continuing or if required pursuant to Section 2.22(d), the Borrower agrees that it will, upon the request of the Administrative Agent or the Required Lenders and until the final expiration date of any Facility LC and thereafter as long as any amount is payable to the LC Issuer or the Lenders in respect of any Facility LC, maintain a special collateral account pursuant to arrangements satisfactory to the Administrative Agent (the “Facility LC Collateral Account”), in the name of such Borrower but under the sole dominion and control of the Administrative Agent, for the benefit of the Lenders and in which such Borrower shall have no interest other than as set forth in Section 8.1. The Borrower hereby pledges, assigns and grants to the Administrative Agent, on behalf of and for the ratable benefit of the Lenders and the LC Issuer, a security interest in all of the Borrower’s right, title and interest in and to all funds which may from time to time be on deposit in the Facility LC Collateral Account to secure the prompt and complete payment and performance of the Obligations. The Administrative Agent will invest any funds on deposit from time to time in the Facility LC Collateral Account in certificates of deposit of U.S. Bank having a maturity not exceeding thirty (30) days. Nothing in this Section 2.19(k) shall either obligate the Administrative Agent to require the Borrower to deposit any funds in the Facility LC Collateral Account or limit the right of the Administrative Agent to release any funds held in the Facility LC Collateral Account in each case other than as required by Section 2.22 or Section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409" w:right="339" w:bottom="1440" w:gutter="0" w:footer="0" w:header="0"/>
        </w:sectPr>
      </w:pPr>
    </w:p>
    <w:bookmarkStart w:id="52" w:name="page53"/>
    <w:bookmarkEnd w:id="52"/>
    <w:p>
      <w:pPr>
        <w:ind w:left="1720" w:hanging="429"/>
        <w:spacing w:after="0"/>
        <w:tabs>
          <w:tab w:leader="none" w:pos="17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Lender</w:t>
      </w:r>
      <w:r>
        <w:rPr>
          <w:rFonts w:ascii="Times New Roman" w:cs="Times New Roman" w:eastAsia="Times New Roman" w:hAnsi="Times New Roman"/>
          <w:sz w:val="21"/>
          <w:szCs w:val="21"/>
          <w:color w:val="auto"/>
        </w:rPr>
        <w:t>. In its capacity as a Lender, the LC Issuer shall have the same rights and obligations as any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Lender.</w:t>
      </w:r>
    </w:p>
    <w:p>
      <w:pPr>
        <w:spacing w:after="0" w:line="13" w:lineRule="exact"/>
        <w:rPr>
          <w:sz w:val="20"/>
          <w:szCs w:val="20"/>
          <w:color w:val="auto"/>
        </w:rPr>
      </w:pPr>
    </w:p>
    <w:p>
      <w:pPr>
        <w:jc w:val="both"/>
        <w:ind w:firstLine="1291"/>
        <w:spacing w:after="0" w:line="256" w:lineRule="auto"/>
        <w:tabs>
          <w:tab w:leader="none" w:pos="1981"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Separate Reimbursement Agreement</w:t>
      </w:r>
      <w:r>
        <w:rPr>
          <w:rFonts w:ascii="Times New Roman" w:cs="Times New Roman" w:eastAsia="Times New Roman" w:hAnsi="Times New Roman"/>
          <w:sz w:val="21"/>
          <w:szCs w:val="21"/>
          <w:color w:val="auto"/>
        </w:rPr>
        <w:t>. In the event the LC Issuer enters into a separate reimbursement agreement with the Borrower covering the Facility LCs and the terms of such reimbursement agreement conflict with or contradict the terms of this Agreement, the terms of this Agreement shall control.</w:t>
      </w:r>
    </w:p>
    <w:p>
      <w:pPr>
        <w:spacing w:after="0" w:line="2" w:lineRule="exact"/>
        <w:rPr>
          <w:rFonts w:ascii="Times New Roman" w:cs="Times New Roman" w:eastAsia="Times New Roman" w:hAnsi="Times New Roman"/>
          <w:sz w:val="21"/>
          <w:szCs w:val="21"/>
          <w:color w:val="auto"/>
        </w:rPr>
      </w:pPr>
    </w:p>
    <w:p>
      <w:pPr>
        <w:jc w:val="both"/>
        <w:ind w:firstLine="642"/>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2.20. </w:t>
      </w:r>
      <w:r>
        <w:rPr>
          <w:rFonts w:ascii="Times New Roman" w:cs="Times New Roman" w:eastAsia="Times New Roman" w:hAnsi="Times New Roman"/>
          <w:sz w:val="21"/>
          <w:szCs w:val="21"/>
          <w:u w:val="single" w:color="auto"/>
          <w:color w:val="auto"/>
        </w:rPr>
        <w:t>Replacement of Lender</w:t>
      </w:r>
      <w:r>
        <w:rPr>
          <w:rFonts w:ascii="Times New Roman" w:cs="Times New Roman" w:eastAsia="Times New Roman" w:hAnsi="Times New Roman"/>
          <w:sz w:val="21"/>
          <w:szCs w:val="21"/>
          <w:color w:val="auto"/>
        </w:rPr>
        <w:t>. If the Borrower is required pursuant to Sections 3.1, 3.2 or 3.5 to make any additional payment to any Lender or if any Lender’s obligation to make or continue, or to convert Base Rate Advances into, Term SOFR Advances shall be suspended pursuant to Section 3.3 or if any Lender defaults in its obligation to make a Loan, reimburse the LC Issuer pursuant to Section 2.19(e) or the Swing Line Lender pursuant to Section 2.4(d) or declines to approve an amendment or waiver that is approved by the Required Lenders or otherwise becomes a Defaulting Lender (any Lender so affected an “Affected Lender”), the Borrower may elect, if the issue or event causing such Lender to be an Affected Lender is still effective, to replace such Affected Lender as a Lender party to this Agreement, provided that no Default or Event of Default shall have occurred and be continuing at the time of such replacement (except in the case of a Lender’s failure to approve an amendment or waiver that would cure any Default or Event of Default), and provided further that, concurrently with such replacement, (i) another bank or other entity which is reasonably satisfactory to the Borrower and the Administrative Agent and, to the Borrower’s and the Administrative Agent’s reasonable satisfaction, which other bank or entity does not suffer from and is not impacted by the issue or event causing the replacement of the Affected Lender, shall agree, as of such date, to purchase for cash at par the Advances and other Obligations due to the Affected Lender under this Agreement and the other Loan Documents pursuant to an assignment substantially in the form of Exhibit B and to become a Lender for all purposes under this Agreement and to assume all obligations of the Affected Lender to be terminated as of such date and to comply with the requirements of Section 12.3 applicable to assignments, and (ii) the Borrower shall pay to such Affected Lender in same day funds on the day of such replacement (A) all interest, fees and other amounts then accrued but unpaid to such Affected Lender by the Borrower hereunder to and including the date of termination, including payments due to such Affected Lender under Sections 3.1, 3.2, 3.4 and 3.5, and (B) an amount, if any, equal to the payment which would have been due to such Lender on the day of such replacement under Section 3.4 had the Loans of such Affected Lender been prepaid on such date rather than sold to the replacement Lender. Each party hereto agrees that</w:t>
      </w:r>
    </w:p>
    <w:p>
      <w:pPr>
        <w:spacing w:after="0" w:line="4" w:lineRule="exact"/>
        <w:rPr>
          <w:rFonts w:ascii="Times New Roman" w:cs="Times New Roman" w:eastAsia="Times New Roman" w:hAnsi="Times New Roman"/>
          <w:sz w:val="21"/>
          <w:szCs w:val="21"/>
          <w:color w:val="auto"/>
        </w:rPr>
      </w:pPr>
    </w:p>
    <w:p>
      <w:pPr>
        <w:jc w:val="both"/>
        <w:ind w:firstLine="7"/>
        <w:spacing w:after="0" w:line="252" w:lineRule="auto"/>
        <w:tabs>
          <w:tab w:leader="none" w:pos="26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assignment required pursuant to this paragraph may be effected pursuant to an assignment and assumption executed by the Borrower, the Administrative Agent and the assignee, and (ii) the Affected Lender need not be a party thereto in order for such assignment and assumption to be effective and shall be deemed to have consented to and be bound by the terms thereof, provided that any such documents shall be without recourse to or warranty by the parties thereto.</w:t>
      </w:r>
    </w:p>
    <w:p>
      <w:pPr>
        <w:spacing w:after="0" w:line="2" w:lineRule="exact"/>
        <w:rPr>
          <w:rFonts w:ascii="Times New Roman" w:cs="Times New Roman" w:eastAsia="Times New Roman" w:hAnsi="Times New Roman"/>
          <w:sz w:val="21"/>
          <w:szCs w:val="21"/>
          <w:color w:val="auto"/>
        </w:rPr>
      </w:pPr>
    </w:p>
    <w:p>
      <w:pPr>
        <w:jc w:val="both"/>
        <w:ind w:firstLine="642"/>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2.21. </w:t>
      </w:r>
      <w:r>
        <w:rPr>
          <w:rFonts w:ascii="Times New Roman" w:cs="Times New Roman" w:eastAsia="Times New Roman" w:hAnsi="Times New Roman"/>
          <w:sz w:val="21"/>
          <w:szCs w:val="21"/>
          <w:u w:val="single" w:color="auto"/>
          <w:color w:val="auto"/>
        </w:rPr>
        <w:t>Limitation of Interest</w:t>
      </w:r>
      <w:r>
        <w:rPr>
          <w:rFonts w:ascii="Times New Roman" w:cs="Times New Roman" w:eastAsia="Times New Roman" w:hAnsi="Times New Roman"/>
          <w:sz w:val="21"/>
          <w:szCs w:val="21"/>
          <w:color w:val="auto"/>
        </w:rPr>
        <w:t>. The Borrower, the Administrative Agent and the Lenders intend to strictly comply with all applicable Laws, including applicable usury laws. Accordingly, the provisions of this Section 2.21 shall govern and control over every other provision of this Agreement or any other Loan Document which conflicts or is inconsistent with this Section 2.21, even if such provision declares that it controls. As used in this Section 2.21, the term “interest” includes the aggregate of all charges, fees, benefits or other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409"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which constitute interest under applicable Law,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maximum extent permitted by applicable Law, (a) any non-principal payment shall be characterized as an expense or as compensation for something other than the use, forbearance or detention of money and not as interest, and (b) all interest at any time contracted for, reserved, charged or received shall be amortized, prorated, allocated and spread, in equal parts during the full term of this Agreement. In no event shall the Borrower or any other Person be obligated to pay, or any Lender have any right or privilege to reserve, receive or retain, (a) any interest in excess of the maximum amount of nonusurious interest permitted under the applicable Laws (if any) of the United States or of any applicable state, or (b) total interest in excess of the amount which such Lender could lawfully have contracted for, reserved, received, retained or charged had the interest been calculated for the full term of this Agreement at the Highest Lawful Rate. On each day, if any, that the interest rate (the “Stated Rate”) called for under this Agreement or any other Loan Document exceeds the Highest Lawful Rate, the rate at which interest shall accrue shall automatically be fixed by operation of this sentence at the Highest Lawful Rate for that day, and shall remain fixed at the Highest Lawful Rate for each day thereafter until the total amount of interest accrued equals the total amount of interest which would have accrued if there were no such ceiling rate as is imposed by this sentence. Thereafter, interest shall accrue at the Stated Rate unless and until the Stated Rate again exceeds the Highest Lawful Rate when the provisions of the immediately preceding sentence shall again automatically operate to limit the interest accrual rate. The daily interest rates to be used in calculating interest at the Highest Lawful Rate shall be determined by dividing the applicable Highest Lawful Rate per annum by the number of days in the calendar year for which such calculation is being made. None of the terms and provisions contained in this Agreement or in any other Loan Document which directly or indirectly relate to interest shall ever be construed without reference to this Section 2.21, or be construed to create a contract to pay for the use, forbearance or detention of money at an interest rate in excess of the Highest Lawful Rate. If the term of any Loan or any other Obligation outstanding hereunder or under the other Loan Documents is shortened by reason of acceleration of maturity as a result of any Event of Default or by any other cause, or by reason of any required or permitted prepayment, and if for that (or any other) reason any Lender at any time, including the stated maturity, is owed or receives (and/or has received) interest in excess of interest calculated at the Highest Lawful Rate, then and in any such event all of any such excess interest shall be cancelled automatically as of the date of such acceleration, prepayment or other event which produces the excess, and, if such excess interest has been paid to such Lender, it shall be credited </w:t>
      </w:r>
      <w:r>
        <w:rPr>
          <w:rFonts w:ascii="Times New Roman" w:cs="Times New Roman" w:eastAsia="Times New Roman" w:hAnsi="Times New Roman"/>
          <w:sz w:val="21"/>
          <w:szCs w:val="21"/>
          <w:i w:val="1"/>
          <w:iCs w:val="1"/>
          <w:color w:val="auto"/>
        </w:rPr>
        <w:t>pro tanto</w:t>
      </w:r>
      <w:r>
        <w:rPr>
          <w:rFonts w:ascii="Times New Roman" w:cs="Times New Roman" w:eastAsia="Times New Roman" w:hAnsi="Times New Roman"/>
          <w:sz w:val="21"/>
          <w:szCs w:val="21"/>
          <w:color w:val="auto"/>
        </w:rPr>
        <w:t xml:space="preserve"> against the then-outstanding principal balance of the Borrower’s Obligations to such Lender, effective as of the date or dates when the event occurs which causes it to be excess interest, until such excess is exhausted or all of such principal has been fully paid and satisfied, whichever occurs first, and any remaining balance of such excess shall be promptly refunded to its payor.</w:t>
      </w:r>
    </w:p>
    <w:p>
      <w:pPr>
        <w:spacing w:after="0" w:line="25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2.22.</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13" w:lineRule="exact"/>
        <w:rPr>
          <w:sz w:val="20"/>
          <w:szCs w:val="20"/>
          <w:color w:val="auto"/>
        </w:rPr>
      </w:pPr>
    </w:p>
    <w:p>
      <w:pPr>
        <w:jc w:val="both"/>
        <w:ind w:firstLine="1291"/>
        <w:spacing w:after="0" w:line="265" w:lineRule="auto"/>
        <w:tabs>
          <w:tab w:leader="none" w:pos="174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Adjustments</w:t>
      </w:r>
      <w:r>
        <w:rPr>
          <w:rFonts w:ascii="Times New Roman" w:cs="Times New Roman" w:eastAsia="Times New Roman" w:hAnsi="Times New Roman"/>
          <w:sz w:val="21"/>
          <w:szCs w:val="21"/>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58" w:lineRule="exact"/>
        <w:rPr>
          <w:rFonts w:ascii="Times New Roman" w:cs="Times New Roman" w:eastAsia="Times New Roman" w:hAnsi="Times New Roman"/>
          <w:sz w:val="21"/>
          <w:szCs w:val="21"/>
          <w:color w:val="auto"/>
        </w:rPr>
      </w:pPr>
    </w:p>
    <w:p>
      <w:pPr>
        <w:ind w:left="640" w:firstLine="1293"/>
        <w:spacing w:after="0" w:line="289" w:lineRule="auto"/>
        <w:tabs>
          <w:tab w:leader="none" w:pos="2393"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Waivers and Amendments</w:t>
      </w:r>
      <w:r>
        <w:rPr>
          <w:rFonts w:ascii="Times New Roman" w:cs="Times New Roman" w:eastAsia="Times New Roman" w:hAnsi="Times New Roman"/>
          <w:sz w:val="21"/>
          <w:szCs w:val="21"/>
          <w:color w:val="auto"/>
        </w:rPr>
        <w:t>. Such Defaulting Lender’s right to approve or disapprove any amendment, waiver or consent with respect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405"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21"/>
          <w:szCs w:val="21"/>
          <w:color w:val="auto"/>
        </w:rPr>
        <w:t>shall be restricted as set forth in the definition of Required Lenders; provided, that any amendment, waiver or consent (x) that increases or extends the Commitment of any Defaulting Lender, or reduces, or extends the time for payment of, amounts owing to a Defaulting Lender (unless otherwise provided in this Agreement), shall in any case require the consent of such Defaulting Lender, and (y) requiring the consent of all the Lenders or each affected Lender that by its terms affects any Defaulting Lender disproportionately adversely relative to the other affected Lenders shall require the consent of such Defaulting Lender.</w:t>
      </w:r>
    </w:p>
    <w:p>
      <w:pPr>
        <w:spacing w:after="0" w:line="4" w:lineRule="exact"/>
        <w:rPr>
          <w:sz w:val="20"/>
          <w:szCs w:val="20"/>
          <w:color w:val="auto"/>
        </w:rPr>
      </w:pPr>
    </w:p>
    <w:p>
      <w:pPr>
        <w:jc w:val="both"/>
        <w:ind w:firstLine="1293"/>
        <w:spacing w:after="0" w:line="255" w:lineRule="auto"/>
        <w:tabs>
          <w:tab w:leader="none" w:pos="175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Waterfall</w:t>
      </w:r>
      <w:r>
        <w:rPr>
          <w:rFonts w:ascii="Times New Roman" w:cs="Times New Roman" w:eastAsia="Times New Roman" w:hAnsi="Times New Roman"/>
          <w:sz w:val="21"/>
          <w:szCs w:val="21"/>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11.1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the LC Issuer and Swing 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LC Issuer’s Fronting Exposure with respect to such Defaulting Lender in accordance with Section 2.22(d);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as the Borrower may request (so long as no Default or Event of Default exists), to the funding of any Loan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the Borrower, to be held in a deposit account (including the Facility LC Collateral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Facility LCs issued under this Agreement, in accordance with Section 2.22(d);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the LC Issuer or Swing Line Lender as a result of any judgment of a court of competent jurisdiction obtained by any Lender, the LC Issuer or Swing Line Lender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if so determined by the Administrative Agent, distributed to the Lenders other than the Defaulting Lender until the ratio of the Outstanding Credit Exposures of such Lenders to the Aggregate Outstanding Credit Exposure equals such ratio immediately prior to the Defaulting Lender’s failure to fund any portion of any Loans or participations in Facility LCs or Swing Line Loans; and </w:t>
      </w:r>
      <w:r>
        <w:rPr>
          <w:rFonts w:ascii="Times New Roman" w:cs="Times New Roman" w:eastAsia="Times New Roman" w:hAnsi="Times New Roman"/>
          <w:sz w:val="21"/>
          <w:szCs w:val="21"/>
          <w:i w:val="1"/>
          <w:iCs w:val="1"/>
          <w:color w:val="auto"/>
        </w:rPr>
        <w:t>ninth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(x) such payment is a payment of the principal amount of any Loans or Facility LC issuances in respect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which such Defaulting Lender has not fully funded its appropriate share, and (y) such Loans were made or the related Facility LCs were issued at a time when the conditions set forth in Section 4.2 were satisfied or waived, such payment shall be applied solely to pay the Credit Extensions of all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0600"/>
          </w:cols>
          <w:pgMar w:left="960" w:top="1409"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21"/>
          <w:szCs w:val="21"/>
          <w:color w:val="auto"/>
        </w:rPr>
        <w:t>Defaulting Lenders on a pro rata basis prior to being applied to the payment of any Credit Extensions of such Defaulting Lender until such time as all Loans and funded and unfunded participations in LC Obligations and Swing Line Loans are held by the Lenders pro rata in accordance with the Commitments without giving effect to Section 2.22(a)(iv). Any payments, prepayments or other amounts paid or payable to a Defaulting Lender that are applied (or held) to pay amounts owed by a Defaulting Lender or to post Cash Collateral pursuant to this Section 2.22(a)(ii) shall be deemed paid to and redirected by such Defaulting Lender, and each Lender irrevocably consents hereto.</w:t>
      </w:r>
    </w:p>
    <w:p>
      <w:pPr>
        <w:spacing w:after="0" w:line="4" w:lineRule="exact"/>
        <w:rPr>
          <w:sz w:val="20"/>
          <w:szCs w:val="20"/>
          <w:color w:val="auto"/>
        </w:rPr>
      </w:pPr>
    </w:p>
    <w:p>
      <w:pPr>
        <w:jc w:val="both"/>
        <w:ind w:firstLine="1293"/>
        <w:spacing w:after="0" w:line="256" w:lineRule="auto"/>
        <w:tabs>
          <w:tab w:leader="none" w:pos="193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Fees</w:t>
      </w:r>
      <w:r>
        <w:rPr>
          <w:rFonts w:ascii="Times New Roman" w:cs="Times New Roman" w:eastAsia="Times New Roman" w:hAnsi="Times New Roman"/>
          <w:sz w:val="21"/>
          <w:szCs w:val="21"/>
          <w:color w:val="auto"/>
        </w:rPr>
        <w:t>. (A) 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2" w:lineRule="exact"/>
        <w:rPr>
          <w:rFonts w:ascii="Times New Roman" w:cs="Times New Roman" w:eastAsia="Times New Roman" w:hAnsi="Times New Roman"/>
          <w:sz w:val="21"/>
          <w:szCs w:val="21"/>
          <w:color w:val="auto"/>
        </w:rPr>
      </w:pPr>
    </w:p>
    <w:p>
      <w:pPr>
        <w:jc w:val="both"/>
        <w:ind w:left="1300" w:firstLine="635"/>
        <w:spacing w:after="0" w:line="259" w:lineRule="auto"/>
        <w:tabs>
          <w:tab w:leader="none" w:pos="2483"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Defaulting Lender shall be entitled to receive LC Fees for any period during which that Lender is a Defaulting Lender only to the extent allocable to its ratable share of the stated amount of Facility LCs for which it has provided Cash Collateral pursuant to Section 2.22(d).</w:t>
      </w:r>
    </w:p>
    <w:p>
      <w:pPr>
        <w:spacing w:after="0" w:line="10" w:lineRule="exact"/>
        <w:rPr>
          <w:rFonts w:ascii="Times New Roman" w:cs="Times New Roman" w:eastAsia="Times New Roman" w:hAnsi="Times New Roman"/>
          <w:sz w:val="21"/>
          <w:szCs w:val="21"/>
          <w:color w:val="auto"/>
        </w:rPr>
      </w:pPr>
    </w:p>
    <w:p>
      <w:pPr>
        <w:jc w:val="both"/>
        <w:ind w:left="1300" w:firstLine="635"/>
        <w:spacing w:after="0" w:line="258" w:lineRule="auto"/>
        <w:tabs>
          <w:tab w:leader="none" w:pos="255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commitment fee or LC Fee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the LC Issuer and Swing Line Lender, as applicable, the amount of any such fee otherwise payable to such Defaulting Lender to the extent allocable to the LC Issuer’s or Swing Line Lender’s Fronting Exposure to such Defaulting Lender, and (z) not be required to pay the remaining amount of any such fee.</w:t>
      </w:r>
    </w:p>
    <w:p>
      <w:pPr>
        <w:spacing w:after="0" w:line="6" w:lineRule="exact"/>
        <w:rPr>
          <w:rFonts w:ascii="Times New Roman" w:cs="Times New Roman" w:eastAsia="Times New Roman" w:hAnsi="Times New Roman"/>
          <w:sz w:val="21"/>
          <w:szCs w:val="21"/>
          <w:color w:val="auto"/>
        </w:rPr>
      </w:pPr>
    </w:p>
    <w:p>
      <w:pPr>
        <w:jc w:val="both"/>
        <w:ind w:firstLine="1293"/>
        <w:spacing w:after="0" w:line="256" w:lineRule="auto"/>
        <w:tabs>
          <w:tab w:leader="none" w:pos="195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 of Participations to Reduce Fronting Exposure</w:t>
      </w:r>
      <w:r>
        <w:rPr>
          <w:rFonts w:ascii="Times New Roman" w:cs="Times New Roman" w:eastAsia="Times New Roman" w:hAnsi="Times New Roman"/>
          <w:sz w:val="21"/>
          <w:szCs w:val="21"/>
          <w:color w:val="auto"/>
        </w:rPr>
        <w:t>.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(x) the conditions set forth in Section 4.2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Outstanding Credit Exposure of any Non-Defaulting Lender to exceed such Non-Defaulting Lender’s Commitment. Subject to Section 9.15,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75" w:lineRule="exact"/>
        <w:rPr>
          <w:rFonts w:ascii="Times New Roman" w:cs="Times New Roman" w:eastAsia="Times New Roman" w:hAnsi="Times New Roman"/>
          <w:sz w:val="21"/>
          <w:szCs w:val="21"/>
          <w:color w:val="auto"/>
        </w:rPr>
      </w:pPr>
    </w:p>
    <w:p>
      <w:pPr>
        <w:jc w:val="both"/>
        <w:ind w:firstLine="1293"/>
        <w:spacing w:after="0" w:line="271" w:lineRule="auto"/>
        <w:tabs>
          <w:tab w:leader="none" w:pos="181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 Repayment of Swing Line Loans</w:t>
      </w:r>
      <w:r>
        <w:rPr>
          <w:rFonts w:ascii="Times New Roman" w:cs="Times New Roman" w:eastAsia="Times New Roman" w:hAnsi="Times New Roman"/>
          <w:sz w:val="21"/>
          <w:szCs w:val="21"/>
          <w:color w:val="auto"/>
        </w:rPr>
        <w:t>. If the reallocation described in clause (iv) above cannot, or can only partially, be effected, the Borrower shall, without prejudice to any right or remedy available to it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0600"/>
          </w:cols>
          <w:pgMar w:left="960" w:top="1409" w:right="339" w:bottom="1440" w:gutter="0" w:footer="0" w:header="0"/>
        </w:sectPr>
      </w:pPr>
    </w:p>
    <w:bookmarkStart w:id="56" w:name="page57"/>
    <w:bookmarkEnd w:id="56"/>
    <w:p>
      <w:pPr>
        <w:jc w:val="both"/>
        <w:ind w:left="640"/>
        <w:spacing w:after="0" w:line="281" w:lineRule="auto"/>
        <w:rPr>
          <w:sz w:val="20"/>
          <w:szCs w:val="20"/>
          <w:color w:val="auto"/>
        </w:rPr>
      </w:pPr>
      <w:r>
        <w:rPr>
          <w:rFonts w:ascii="Times New Roman" w:cs="Times New Roman" w:eastAsia="Times New Roman" w:hAnsi="Times New Roman"/>
          <w:sz w:val="21"/>
          <w:szCs w:val="21"/>
          <w:color w:val="auto"/>
        </w:rPr>
        <w:t>under Law, (x) first, prepay Swing Line Loans in an amount equal to the Swing Line Lender’s Fronting Exposure and (y) second, Cash Collateralize the LC Issuer’s Fronting Exposure in accordance with the procedures set forth in Section 2.22(d).</w:t>
      </w:r>
    </w:p>
    <w:p>
      <w:pPr>
        <w:spacing w:after="0" w:line="221" w:lineRule="exact"/>
        <w:rPr>
          <w:sz w:val="20"/>
          <w:szCs w:val="20"/>
          <w:color w:val="auto"/>
        </w:rPr>
      </w:pPr>
    </w:p>
    <w:p>
      <w:pPr>
        <w:jc w:val="both"/>
        <w:ind w:firstLine="1291"/>
        <w:spacing w:after="0" w:line="254" w:lineRule="auto"/>
        <w:tabs>
          <w:tab w:leader="none" w:pos="176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Cure</w:t>
      </w:r>
      <w:r>
        <w:rPr>
          <w:rFonts w:ascii="Times New Roman" w:cs="Times New Roman" w:eastAsia="Times New Roman" w:hAnsi="Times New Roman"/>
          <w:sz w:val="21"/>
          <w:szCs w:val="21"/>
          <w:color w:val="auto"/>
        </w:rPr>
        <w:t xml:space="preserve">.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Facility LCs and Swing Line Loans to be held pro rata by the Lenders in accordance with the Commitments (without giving effect to Section 2.22(a)(iv)), whereupon such Lender will cease to be a Defaulting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0" w:lineRule="exact"/>
        <w:rPr>
          <w:rFonts w:ascii="Times New Roman" w:cs="Times New Roman" w:eastAsia="Times New Roman" w:hAnsi="Times New Roman"/>
          <w:sz w:val="21"/>
          <w:szCs w:val="21"/>
          <w:color w:val="auto"/>
        </w:rPr>
      </w:pPr>
    </w:p>
    <w:p>
      <w:pPr>
        <w:jc w:val="both"/>
        <w:ind w:firstLine="1291"/>
        <w:spacing w:after="0" w:line="255" w:lineRule="auto"/>
        <w:tabs>
          <w:tab w:leader="none" w:pos="173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Swing Line Loans/Facility LCs</w:t>
      </w:r>
      <w:r>
        <w:rPr>
          <w:rFonts w:ascii="Times New Roman" w:cs="Times New Roman" w:eastAsia="Times New Roman" w:hAnsi="Times New Roman"/>
          <w:sz w:val="21"/>
          <w:szCs w:val="21"/>
          <w:color w:val="auto"/>
        </w:rPr>
        <w:t>. So long as any Lender is a Defaulting Lender, (i) the Swing Line Lender shall not be required to fund any Swing Line Loans unless it is satisfied that it will have no Fronting Exposure after giving effect to such Swing Line Loan and (ii) the LC Issuer shall not be required to issue, extend, renew or increase any Facility LC unless it is satisfied that it will have no Fronting Exposure after giving effect thereto.</w:t>
      </w:r>
    </w:p>
    <w:p>
      <w:pPr>
        <w:spacing w:after="0" w:line="2" w:lineRule="exact"/>
        <w:rPr>
          <w:rFonts w:ascii="Times New Roman" w:cs="Times New Roman" w:eastAsia="Times New Roman" w:hAnsi="Times New Roman"/>
          <w:sz w:val="21"/>
          <w:szCs w:val="21"/>
          <w:color w:val="auto"/>
        </w:rPr>
      </w:pPr>
    </w:p>
    <w:p>
      <w:pPr>
        <w:jc w:val="both"/>
        <w:ind w:firstLine="1291"/>
        <w:spacing w:after="0" w:line="255" w:lineRule="auto"/>
        <w:tabs>
          <w:tab w:leader="none" w:pos="176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At any time that there shall exist a Defaulting Lender, within one (1) Business Day following the written request of the Administrative Agent or the LC Issuer (with a copy to the Administrative Agent) the Borrower shall Cash Collateralize the LC Issuer’s Fronting Exposure with respect to such Defaulting Lender (determined after giving effect to Section 2.22(a)(iv) and any Cash Collateral provided by such Defaulting Lender) in an amount not less than the Minimum Collateral Amount.</w:t>
      </w:r>
    </w:p>
    <w:p>
      <w:pPr>
        <w:spacing w:after="0" w:line="1" w:lineRule="exact"/>
        <w:rPr>
          <w:rFonts w:ascii="Times New Roman" w:cs="Times New Roman" w:eastAsia="Times New Roman" w:hAnsi="Times New Roman"/>
          <w:sz w:val="21"/>
          <w:szCs w:val="21"/>
          <w:color w:val="auto"/>
        </w:rPr>
      </w:pPr>
    </w:p>
    <w:p>
      <w:pPr>
        <w:jc w:val="both"/>
        <w:ind w:left="640" w:firstLine="1293"/>
        <w:spacing w:after="0" w:line="255" w:lineRule="auto"/>
        <w:tabs>
          <w:tab w:leader="none" w:pos="2393"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The Borrower, and to the extent provided by any Defaulting Lender, such Defaulting Lender, hereby grants to the Administrative Agent, for the benefit of the LC Issuer, and agrees to maintain, a first priority security interest in all such Cash Collateral as security for the Defaulting Lender’s obligation to fund participations in respect of LC Obligations, to be applied pursuant to clause (ii) below. If at any time the Administrative Agent determines that Cash Collateral is subject to any right or claim of any Person other than the Administrative Agent and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4" w:lineRule="exact"/>
        <w:rPr>
          <w:rFonts w:ascii="Times New Roman" w:cs="Times New Roman" w:eastAsia="Times New Roman" w:hAnsi="Times New Roman"/>
          <w:sz w:val="21"/>
          <w:szCs w:val="21"/>
          <w:color w:val="auto"/>
        </w:rPr>
      </w:pPr>
    </w:p>
    <w:p>
      <w:pPr>
        <w:jc w:val="both"/>
        <w:ind w:left="640" w:firstLine="1293"/>
        <w:spacing w:after="0" w:line="259" w:lineRule="auto"/>
        <w:tabs>
          <w:tab w:leader="none" w:pos="2466"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w:t>
      </w:r>
      <w:r>
        <w:rPr>
          <w:rFonts w:ascii="Times New Roman" w:cs="Times New Roman" w:eastAsia="Times New Roman" w:hAnsi="Times New Roman"/>
          <w:sz w:val="21"/>
          <w:szCs w:val="21"/>
          <w:color w:val="auto"/>
        </w:rPr>
        <w:t>. Notwithstanding anything to the contrary contained in this Agreement, Cash Collateral provided under this Section 2.22 in respect of Facility LCs shall be applied to the satisfaction of the Defaulting Lender’s obligation to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409" w:right="339" w:bottom="1440" w:gutter="0" w:footer="0" w:header="0"/>
        </w:sectPr>
      </w:pPr>
    </w:p>
    <w:bookmarkStart w:id="57" w:name="page58"/>
    <w:bookmarkEnd w:id="57"/>
    <w:p>
      <w:pPr>
        <w:jc w:val="both"/>
        <w:ind w:left="640" w:right="20"/>
        <w:spacing w:after="0" w:line="260" w:lineRule="auto"/>
        <w:rPr>
          <w:sz w:val="20"/>
          <w:szCs w:val="20"/>
          <w:color w:val="auto"/>
        </w:rPr>
      </w:pPr>
      <w:r>
        <w:rPr>
          <w:rFonts w:ascii="Times New Roman" w:cs="Times New Roman" w:eastAsia="Times New Roman" w:hAnsi="Times New Roman"/>
          <w:sz w:val="21"/>
          <w:szCs w:val="21"/>
          <w:color w:val="auto"/>
        </w:rPr>
        <w:t>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2" w:lineRule="exact"/>
        <w:rPr>
          <w:sz w:val="20"/>
          <w:szCs w:val="20"/>
          <w:color w:val="auto"/>
        </w:rPr>
      </w:pPr>
    </w:p>
    <w:p>
      <w:pPr>
        <w:jc w:val="both"/>
        <w:ind w:left="640" w:firstLine="1293"/>
        <w:spacing w:after="0" w:line="256" w:lineRule="auto"/>
        <w:tabs>
          <w:tab w:leader="none" w:pos="249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Requirement</w:t>
      </w:r>
      <w:r>
        <w:rPr>
          <w:rFonts w:ascii="Times New Roman" w:cs="Times New Roman" w:eastAsia="Times New Roman" w:hAnsi="Times New Roman"/>
          <w:sz w:val="21"/>
          <w:szCs w:val="21"/>
          <w:color w:val="auto"/>
        </w:rPr>
        <w:t xml:space="preserve">. Cash Collateral (or the appropriate portion thereof) provided to reduce the LC Issuer’s Fronting Exposure shall no longer be required to be held as Cash Collateral pursuant to this Section 2.22(d) following (i) the elimination of the applicable Fronting Exposure (including by the termination of Defaulting Lender status of the applicable Lender), or (ii) the determination by the Administrative Agent and the LC Issuer that there exists excess Cash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this Section 2.22 the Person providing Cash Collateral and the LC Issuer may agree that Cash Collateral shall be held to support future anticipated Fronting Exposure or other obligations.</w:t>
      </w:r>
    </w:p>
    <w:p>
      <w:pPr>
        <w:spacing w:after="0" w:line="5"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2.23.   </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If for the purposes of obtaining judgment in any court it is necessary to convert a sum due</w:t>
      </w:r>
    </w:p>
    <w:p>
      <w:pPr>
        <w:spacing w:after="0" w:line="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from the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offices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11.2, such Lender or the Administrative Agent, as the case may be, agrees to remit such excess to the Borrower.</w:t>
      </w:r>
    </w:p>
    <w:p>
      <w:pPr>
        <w:spacing w:after="0" w:line="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2.24.</w:t>
      </w:r>
      <w:r>
        <w:rPr>
          <w:sz w:val="20"/>
          <w:szCs w:val="20"/>
          <w:color w:val="auto"/>
        </w:rPr>
        <w:tab/>
      </w:r>
      <w:r>
        <w:rPr>
          <w:rFonts w:ascii="Times New Roman" w:cs="Times New Roman" w:eastAsia="Times New Roman" w:hAnsi="Times New Roman"/>
          <w:sz w:val="21"/>
          <w:szCs w:val="21"/>
          <w:u w:val="single" w:color="auto"/>
          <w:color w:val="auto"/>
        </w:rPr>
        <w:t>Extensions of Commitments</w:t>
      </w:r>
      <w:r>
        <w:rPr>
          <w:rFonts w:ascii="Times New Roman" w:cs="Times New Roman" w:eastAsia="Times New Roman" w:hAnsi="Times New Roman"/>
          <w:sz w:val="21"/>
          <w:szCs w:val="21"/>
          <w:color w:val="auto"/>
        </w:rPr>
        <w:t>.</w:t>
      </w:r>
    </w:p>
    <w:p>
      <w:pPr>
        <w:spacing w:after="0" w:line="42" w:lineRule="exact"/>
        <w:rPr>
          <w:sz w:val="20"/>
          <w:szCs w:val="20"/>
          <w:color w:val="auto"/>
        </w:rPr>
      </w:pPr>
    </w:p>
    <w:p>
      <w:pPr>
        <w:jc w:val="both"/>
        <w:ind w:firstLine="1291"/>
        <w:spacing w:after="0" w:line="262" w:lineRule="auto"/>
        <w:tabs>
          <w:tab w:leader="none" w:pos="176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from time to time, pursuant to the provisions of this Section 2.24, agree with one or more Lenders holding Commitments to extend the termination date, and otherwise modify the terms of such Commitments or any portion thereof (including by increasing the interest rate or fees payable in respect of such Commitments or any portion thereof) (each such modification, an “Extension”) pursuant to one or more written offers (each, an “Extension Offer”) made from time to time by the Borrower to all Lenders, in each case on a pro rata basis (based on their respective Pro Rata Shares) and on the same terms to each such Lender. In connection with each Extension, the Borrower will provide notification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409" w:right="339" w:bottom="1440" w:gutter="0" w:footer="0" w:header="0"/>
        </w:sectPr>
      </w:pPr>
    </w:p>
    <w:bookmarkStart w:id="58" w:name="page59"/>
    <w:bookmarkEnd w:id="58"/>
    <w:p>
      <w:pPr>
        <w:jc w:val="both"/>
        <w:spacing w:after="0" w:line="263" w:lineRule="auto"/>
        <w:rPr>
          <w:sz w:val="20"/>
          <w:szCs w:val="20"/>
          <w:color w:val="auto"/>
        </w:rPr>
      </w:pPr>
      <w:r>
        <w:rPr>
          <w:rFonts w:ascii="Times New Roman" w:cs="Times New Roman" w:eastAsia="Times New Roman" w:hAnsi="Times New Roman"/>
          <w:sz w:val="21"/>
          <w:szCs w:val="21"/>
          <w:color w:val="auto"/>
        </w:rPr>
        <w:t>Administrative Agent (for distribution to the Lenders), no later than thirty (30) days prior to the Facility Termination Date of the requested new termination date for the extended Commitments (each an “Extended Termination Date”) and the due date for Lender responses. In connection with any Extension, each Lender wishing to participate in such Extension shall, prior to such due date, provide the Administrative Agent with a written notice thereof in a form reasonably satisfactory to the Administrative Agent. Any Lender that does not respond to an Extension Offer by the applicable due date shall be deemed to have rejected such Extension.</w:t>
      </w:r>
    </w:p>
    <w:p>
      <w:pPr>
        <w:spacing w:after="0" w:line="239" w:lineRule="exact"/>
        <w:rPr>
          <w:sz w:val="20"/>
          <w:szCs w:val="20"/>
          <w:color w:val="auto"/>
        </w:rPr>
      </w:pPr>
    </w:p>
    <w:p>
      <w:pPr>
        <w:ind w:left="1760" w:hanging="469"/>
        <w:spacing w:after="0"/>
        <w:tabs>
          <w:tab w:leader="none" w:pos="17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Extension shall be subject to the following:</w:t>
      </w:r>
    </w:p>
    <w:p>
      <w:pPr>
        <w:spacing w:after="0" w:line="12" w:lineRule="exact"/>
        <w:rPr>
          <w:rFonts w:ascii="Times New Roman" w:cs="Times New Roman" w:eastAsia="Times New Roman" w:hAnsi="Times New Roman"/>
          <w:sz w:val="21"/>
          <w:szCs w:val="21"/>
          <w:color w:val="auto"/>
        </w:rPr>
      </w:pPr>
    </w:p>
    <w:p>
      <w:pPr>
        <w:ind w:left="640" w:firstLine="1293"/>
        <w:spacing w:after="0" w:line="259" w:lineRule="auto"/>
        <w:tabs>
          <w:tab w:leader="none" w:pos="234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 at the time any Extension Offer is delivered to the Lenders or at the time of such Extension;</w:t>
      </w:r>
    </w:p>
    <w:p>
      <w:pPr>
        <w:jc w:val="both"/>
        <w:ind w:left="640" w:firstLine="1293"/>
        <w:spacing w:after="0" w:line="252" w:lineRule="auto"/>
        <w:tabs>
          <w:tab w:leader="none" w:pos="257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to interest rates, fees and termination date, the Commitment of any Lender extended pursuant to any Extension shall have the same terms as the Commitments of the Lenders that did not agree to the Extension Offer;</w:t>
      </w:r>
    </w:p>
    <w:p>
      <w:pPr>
        <w:spacing w:after="0" w:line="1" w:lineRule="exact"/>
        <w:rPr>
          <w:rFonts w:ascii="Times New Roman" w:cs="Times New Roman" w:eastAsia="Times New Roman" w:hAnsi="Times New Roman"/>
          <w:sz w:val="21"/>
          <w:szCs w:val="21"/>
          <w:color w:val="auto"/>
        </w:rPr>
      </w:pPr>
    </w:p>
    <w:p>
      <w:pPr>
        <w:ind w:left="640" w:firstLine="1293"/>
        <w:spacing w:after="0" w:line="252" w:lineRule="auto"/>
        <w:tabs>
          <w:tab w:leader="none" w:pos="2493"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final termination date of the Commitments to be extended pursuant to an Extension shall be later than the final termination date of the Commitments of the Lenders that did not agree to the Extension Offer;</w:t>
      </w:r>
    </w:p>
    <w:p>
      <w:pPr>
        <w:spacing w:after="0" w:line="1" w:lineRule="exact"/>
        <w:rPr>
          <w:rFonts w:ascii="Times New Roman" w:cs="Times New Roman" w:eastAsia="Times New Roman" w:hAnsi="Times New Roman"/>
          <w:sz w:val="21"/>
          <w:szCs w:val="21"/>
          <w:color w:val="auto"/>
        </w:rPr>
      </w:pPr>
    </w:p>
    <w:p>
      <w:pPr>
        <w:jc w:val="both"/>
        <w:ind w:left="640" w:firstLine="1293"/>
        <w:spacing w:after="0" w:line="255" w:lineRule="auto"/>
        <w:tabs>
          <w:tab w:leader="none" w:pos="2637"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aggregate amount of Commitments in respect of which Lenders shall have accepted an Extension Offer exceeds the maximum aggregate amount of Commitments offered to be extended by the Borrower pursuant to the relevant Extension Offer, then such Commitments shall be extended ratably up to such maximum amount based on the relative Commitments of the Lenders that accepted such Extension Offer;</w:t>
      </w:r>
    </w:p>
    <w:p>
      <w:pPr>
        <w:spacing w:after="0" w:line="2" w:lineRule="exact"/>
        <w:rPr>
          <w:rFonts w:ascii="Times New Roman" w:cs="Times New Roman" w:eastAsia="Times New Roman" w:hAnsi="Times New Roman"/>
          <w:sz w:val="21"/>
          <w:szCs w:val="21"/>
          <w:color w:val="auto"/>
        </w:rPr>
      </w:pPr>
    </w:p>
    <w:p>
      <w:pPr>
        <w:jc w:val="both"/>
        <w:ind w:left="640" w:firstLine="1293"/>
        <w:spacing w:after="0" w:line="256" w:lineRule="auto"/>
        <w:tabs>
          <w:tab w:leader="none" w:pos="243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documentation in respect of such Extension shall be consistent with the foregoing, and all written communications by the Borrower generally directed to the applicable Lenders in connection therewith shall be in form and substance consistent with the foregoing and otherwise reasonably satisfactory to the Administrative Agent;</w:t>
      </w:r>
    </w:p>
    <w:p>
      <w:pPr>
        <w:spacing w:after="0" w:line="2" w:lineRule="exact"/>
        <w:rPr>
          <w:rFonts w:ascii="Times New Roman" w:cs="Times New Roman" w:eastAsia="Times New Roman" w:hAnsi="Times New Roman"/>
          <w:sz w:val="21"/>
          <w:szCs w:val="21"/>
          <w:color w:val="auto"/>
        </w:rPr>
      </w:pPr>
    </w:p>
    <w:p>
      <w:pPr>
        <w:ind w:left="2460" w:hanging="527"/>
        <w:spacing w:after="0"/>
        <w:tabs>
          <w:tab w:leader="none" w:pos="246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applicable Minimum Extension Condition shall be satisfied; and</w:t>
      </w:r>
    </w:p>
    <w:p>
      <w:pPr>
        <w:spacing w:after="0" w:line="12" w:lineRule="exact"/>
        <w:rPr>
          <w:rFonts w:ascii="Times New Roman" w:cs="Times New Roman" w:eastAsia="Times New Roman" w:hAnsi="Times New Roman"/>
          <w:sz w:val="21"/>
          <w:szCs w:val="21"/>
          <w:color w:val="auto"/>
        </w:rPr>
      </w:pPr>
    </w:p>
    <w:p>
      <w:pPr>
        <w:jc w:val="both"/>
        <w:ind w:left="640" w:firstLine="1293"/>
        <w:spacing w:after="0" w:line="260" w:lineRule="auto"/>
        <w:tabs>
          <w:tab w:leader="none" w:pos="259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Extension shall become effective unless, on the proposed effective date of such Extension, the conditions set forth in Section 4.2 shall be satisfied (with all references in such Section to a request for a Loan being deemed to be references to the Extension on the applicable date of such Extension), and the Administrative Agent shall have received a certificate to that effect dated the applicable date of such Extension and executed by an Authorized Officer of the Borrower.</w:t>
      </w:r>
    </w:p>
    <w:p>
      <w:pPr>
        <w:spacing w:after="0" w:line="266" w:lineRule="exact"/>
        <w:rPr>
          <w:rFonts w:ascii="Times New Roman" w:cs="Times New Roman" w:eastAsia="Times New Roman" w:hAnsi="Times New Roman"/>
          <w:sz w:val="21"/>
          <w:szCs w:val="21"/>
          <w:color w:val="auto"/>
        </w:rPr>
      </w:pPr>
    </w:p>
    <w:p>
      <w:pPr>
        <w:ind w:left="1740" w:hanging="449"/>
        <w:spacing w:after="0"/>
        <w:tabs>
          <w:tab w:leader="none" w:pos="17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36" w:lineRule="exact"/>
        <w:rPr>
          <w:rFonts w:ascii="Times New Roman" w:cs="Times New Roman" w:eastAsia="Times New Roman" w:hAnsi="Times New Roman"/>
          <w:sz w:val="21"/>
          <w:szCs w:val="21"/>
          <w:color w:val="auto"/>
        </w:rPr>
      </w:pPr>
    </w:p>
    <w:p>
      <w:pPr>
        <w:jc w:val="both"/>
        <w:ind w:firstLine="1291"/>
        <w:spacing w:after="0" w:line="256" w:lineRule="auto"/>
        <w:tabs>
          <w:tab w:leader="none" w:pos="178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and effectiveness of any Extension will be subject to a condition set forth in the relevant Extension Offer (a “Minimum Extension Condition”) that a minimum amount be agreed to by the Lenders subject to such Extension (to be determined in the Borrower’s discretion and specified in the relevant Extension Offer, but in no event less than $100,000,000, unless another amount is agreed to by the Administrative Agent). For the avoidance of doubt, it is understood and agreed that the provisions of Section 11.2 will not apply to Extensions of Commitments pursuant to Extension Offers made pursuant to and in accordance with the provisions of this Section 2.24, including to any payment of interest or fees in respect of any Commitments or Revolving Loans that have been extended or made pursuant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409" w:right="339" w:bottom="1440" w:gutter="0" w:footer="0" w:header="0"/>
        </w:sectPr>
      </w:pPr>
    </w:p>
    <w:bookmarkStart w:id="59" w:name="page60"/>
    <w:bookmarkEnd w:id="59"/>
    <w:p>
      <w:pPr>
        <w:spacing w:after="0" w:line="264" w:lineRule="auto"/>
        <w:rPr>
          <w:sz w:val="20"/>
          <w:szCs w:val="20"/>
          <w:color w:val="auto"/>
        </w:rPr>
      </w:pPr>
      <w:r>
        <w:rPr>
          <w:rFonts w:ascii="Times New Roman" w:cs="Times New Roman" w:eastAsia="Times New Roman" w:hAnsi="Times New Roman"/>
          <w:sz w:val="21"/>
          <w:szCs w:val="21"/>
          <w:color w:val="auto"/>
        </w:rPr>
        <w:t>Extension at a rate or rates different from those paid or payable in respect of Commitments or Revolving Loans of Lenders that did not extend their Commitments, in each case as is set forth in the relevant Extension Offer.</w:t>
      </w:r>
    </w:p>
    <w:p>
      <w:pPr>
        <w:spacing w:after="0" w:line="1" w:lineRule="exact"/>
        <w:rPr>
          <w:sz w:val="20"/>
          <w:szCs w:val="20"/>
          <w:color w:val="auto"/>
        </w:rPr>
      </w:pPr>
    </w:p>
    <w:p>
      <w:pPr>
        <w:jc w:val="both"/>
        <w:ind w:firstLine="1291"/>
        <w:spacing w:after="0" w:line="257" w:lineRule="auto"/>
        <w:tabs>
          <w:tab w:leader="none" w:pos="180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Lenders hereby irrevocably authorize the Administrative Agent to enter into amendments (collectively, “Extension Amendments”) to this Agreement and the other Loan Documents as may be necessary in order to establish new classes of Commitments and Revolving Loans created pursuant to an Extension, in each case on terms consistent with this Section 2.24. Notwithstanding the foregoing, the Administrative Agent shall have the right (but not the obligation) to seek the advice or concurrence of the Required Lenders with respect to any matter contemplated by this Section 2.24 and, if the Administrative Agent seeks such advice or concurrence, the Administrative Agent shall be permitted to enter into such amendments with the Borrower in accordance with any instructions received from such Required Lenders and shall also be entitled to refrain from entering into such amendments with the Borrower unless and until it shall have received such advice or concurrence;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whether or not there has been a request by the Administrative Agent for any such advice or concurrence, all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Extension Amendments entered into with the Borrower by the Administrative Agent hereunder shall be binding on the Lenders. Without limiting the foregoing, in connection with any Extension, the Borrower and any Subsidiary shall execute such agreements, confirmations or other documentation as the Administrative Agent shall reasonably request to accomplish the purposes of this Section 2.24.</w:t>
      </w:r>
    </w:p>
    <w:p>
      <w:pPr>
        <w:spacing w:after="0" w:line="240" w:lineRule="exact"/>
        <w:rPr>
          <w:rFonts w:ascii="Times New Roman" w:cs="Times New Roman" w:eastAsia="Times New Roman" w:hAnsi="Times New Roman"/>
          <w:sz w:val="21"/>
          <w:szCs w:val="21"/>
          <w:color w:val="auto"/>
        </w:rPr>
      </w:pPr>
    </w:p>
    <w:p>
      <w:pPr>
        <w:jc w:val="both"/>
        <w:ind w:firstLine="1291"/>
        <w:spacing w:after="0" w:line="252" w:lineRule="auto"/>
        <w:tabs>
          <w:tab w:leader="none" w:pos="18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Extension, the Borrower shall provide the Administrative Agent at least ten (10) Business Days’ (or such shorter period as may be agreed by the Administrative Agent) prior written notice thereof, and shall agree to such procedures, if any, as may be reasonably established by, or acceptable to, the Administrative Agent to accomplish the purposes of this Section 2.24.</w:t>
      </w:r>
    </w:p>
    <w:p>
      <w:pPr>
        <w:spacing w:after="0" w:line="2" w:lineRule="exact"/>
        <w:rPr>
          <w:rFonts w:ascii="Times New Roman" w:cs="Times New Roman" w:eastAsia="Times New Roman" w:hAnsi="Times New Roman"/>
          <w:sz w:val="21"/>
          <w:szCs w:val="21"/>
          <w:color w:val="auto"/>
        </w:rPr>
      </w:pPr>
    </w:p>
    <w:p>
      <w:pPr>
        <w:ind w:left="1760" w:hanging="469"/>
        <w:spacing w:after="0"/>
        <w:tabs>
          <w:tab w:leader="none" w:pos="17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Section 2.24 shall supersede any provision in Section 8.3 to the contrary.</w:t>
      </w:r>
    </w:p>
    <w:p>
      <w:pPr>
        <w:spacing w:after="0" w:line="25"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2.25. </w:t>
      </w:r>
      <w:r>
        <w:rPr>
          <w:rFonts w:ascii="Times New Roman" w:cs="Times New Roman" w:eastAsia="Times New Roman" w:hAnsi="Times New Roman"/>
          <w:sz w:val="21"/>
          <w:szCs w:val="21"/>
          <w:u w:val="single" w:color="auto"/>
          <w:color w:val="auto"/>
        </w:rPr>
        <w:t>Increase Option</w:t>
      </w:r>
      <w:r>
        <w:rPr>
          <w:rFonts w:ascii="Times New Roman" w:cs="Times New Roman" w:eastAsia="Times New Roman" w:hAnsi="Times New Roman"/>
          <w:sz w:val="21"/>
          <w:szCs w:val="21"/>
          <w:color w:val="auto"/>
        </w:rPr>
        <w:t xml:space="preserve">. The Borrower may from time to time, from the Effective Date until the Facility Termination Date, request (i) increases to the Commitments (“Increased Revolving Commitments”), (ii) one or more tranches of incremental revolving commitments (“Incremental Revolving Commitments”), or (iii) one or more tranches of incremental term loan commitments, which may include delayed draw term loan commitments (“Incremental Term Loan Commitments”; together with the Increased Revolving Commitments and the Incremental Revolving Commitments, the “Incremental Increases”), each in minimum increments of $25,000,000 or such lower amount as the Borrower and the Administrative Agent agree upon, so long as, after giving effect to any such Incremental Increase, the aggregate amount of such Incremental Increases (including the credit extensions made thereunder), taken together with the Commitments and other Incremental Increases then in effect, does not result in the Net Leverage Ratio (giving pro forma effect to the most-recently requested Incremental Increase as though fully drawn on the effective date therefor and determined using the most recent financials of the Borrower delivered to the Administrative Agent hereunder) exceeding 2.00 to 1.00. The Borrower may arrange for any such Incremental Increase to be provided by one or more existing Lenders (each, an “Increasing Lender”), or by one or more new banks, financial institutions or other entities that are Eligible Assignees (each such new bank, financial institution or other entity, an “Augmenting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each Augmenting Lender and each Increasing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409" w:right="339" w:bottom="1440" w:gutter="0" w:footer="0" w:header="0"/>
        </w:sectPr>
      </w:pPr>
    </w:p>
    <w:bookmarkStart w:id="60" w:name="page61"/>
    <w:bookmarkEnd w:id="60"/>
    <w:p>
      <w:pPr>
        <w:jc w:val="both"/>
        <w:spacing w:after="0" w:line="264" w:lineRule="auto"/>
        <w:rPr>
          <w:sz w:val="20"/>
          <w:szCs w:val="20"/>
          <w:color w:val="auto"/>
        </w:rPr>
      </w:pPr>
      <w:r>
        <w:rPr>
          <w:rFonts w:ascii="Times New Roman" w:cs="Times New Roman" w:eastAsia="Times New Roman" w:hAnsi="Times New Roman"/>
          <w:sz w:val="21"/>
          <w:szCs w:val="21"/>
          <w:color w:val="auto"/>
        </w:rPr>
        <w:t>Lender shall be subject to the approval of the Borrower, the Administrative Agent and, with respect to Increased Revolving Commitments and Incremental Revolving Commitments, the LC Issuer, in each case not to be unreasonably withheld, and (ii)</w:t>
      </w:r>
    </w:p>
    <w:p>
      <w:pPr>
        <w:spacing w:after="0" w:line="1" w:lineRule="exact"/>
        <w:rPr>
          <w:sz w:val="20"/>
          <w:szCs w:val="20"/>
          <w:color w:val="auto"/>
        </w:rPr>
      </w:pPr>
    </w:p>
    <w:p>
      <w:pPr>
        <w:jc w:val="both"/>
        <w:ind w:firstLine="7"/>
        <w:spacing w:after="0" w:line="255" w:lineRule="auto"/>
        <w:tabs>
          <w:tab w:leader="none" w:pos="30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 Increasing Lender, the Borrower and such Increasing Lender execute an agreement substantially in the form of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hereto, and (y) in the case of an Augmenting Lender, the Borrower and such Augmenting Lender execute an agreement substantially in the form of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hereto. No consent of any Lender (other than the Lenders participating in the applicable Incremental Increase) shall be required for any Incremental Increase pursuant to this Section 2.25. Commitments created pursuant to this Section 2.25 shall become effective on the date agreed by the Borrower, the Administrative Agent and the relevant Increasing Lenders or Augmenting Lenders, and the Administrative Agent shall notify each Lender thereof. Notwithstanding the foregoing, no Incremental Increase shall become effective under this Section unless, (i) on the proposed date of the effectiveness of such increase, (A) the conditions set forth in paragraphs (a) and (b) of Section 4.2 shall be satisfied or waived by the Required Lenders and the Administrative Agent shall have received a certificate to that effect dated such date and executed by an Authorized Officer of the Borrower and (B) the Borrower shall be in compliance (on a pro forma basis reasonably acceptable to the Administrative Agent) with the covenants contained in Section 6.20 and (ii) the Administrative Agent shall have received documents consistent with those delivered on the Effective Date as to the corporate power and authority of the Borrower to borrow hereunder after giving effect to such increase, as well as such documents as the Administrative Agent may reasonably request (including customary opinions of counsel, affirmations of Loan Documents and updated financial projections, reasonably acceptable to the Administrative Agent, demonstrating the Borrower’s anticipated compliance with Section 6.20 through the Facility Termination Date). On the effective date for any Increased Revolving Commitments, (i) each relevant Increasing Lender and Augmenting Lender shall make available to the Administrative Agent such amounts in immediately available funds as the Administrative Agent shall determine, for the benefit of the other Lenders with Commitments, as being required in order to cause, after giving effect to such increase and the use of such amounts to make payments to such other applicable Lenders, each such Lender’s portion of the outstanding Revolving Loans under the Commitments of all such Lenders to equal its Pro Rata Share of such outstanding Revolving Loans, and (ii) the Borrower shall be deemed to have repaid and reborrowed all outstanding Revolving Loans under the Commitments as of the date of any increase in the Commitments (with such reborrowing to consist of the Types of Revolving Loans, with related Interest Periods if applicable, specified in a notice delivered by the Borrower, in accordance with the requirements of Section 2.3). The deemed payments made pursuant to clause (ii) of the immediately preceding sentence shall be accompanied by payment of all accrued interest on the amount prepaid and, in respect of each Term SOFR Loan, shall be subject to indemnification by the Borrower pursuant to the provisions of Section 3.4 if the deemed payment occurs other than on the last day of the related Interest Periods. Such payments shall not apply to extensions of credit under Incremental Revolving Commitments or Incremental Term Loan Commitments. Nothing contained in this Section 2.25 shall constitute, or otherwise be deemed to be, a commitment on the part of any Lender to increase its Commitment or extend commitments under any Incremental Increase at any time. Upfront fees, the Applicable Margin, the pricing grid, the scheduled maturity date, and scheduled principal payments, if applicable, for the applicable Incremental Revolving Commitments and/or Incremental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409" w:right="339" w:bottom="1440" w:gutter="0" w:footer="0" w:header="0"/>
        </w:sectPr>
      </w:pPr>
    </w:p>
    <w:bookmarkStart w:id="61" w:name="page62"/>
    <w:bookmarkEnd w:id="61"/>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Commitments (and related extensions of credit hereunder) shall be determined by the applicable Lenders extending commitments under the applicable Incremental Increase and the Borrower on the effective date of such Incremental Increase. Increased Revolving Commitments shall be subject to the same pricing (including the Applicable Margin), maturity and amortization requirements as the Commitments (with the understanding that upfront and arrangement fees for Increased Revolving Commitments may differ from those paid in respect of Commitments in existence prior to the effective date for any Increased Revolving Commitments). Except as provided above, all other terms and conditions applicable to any Incremental Increase (including, without limitation, the representations, warranties, covenants and events of default to which such Incremental Increase is subject, but excluding the fee differences permitted above) shall be substantially similar to the terms and conditions applicable to the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terms and conditions to which the Commitments and the Increased Revolving Commitments are subject shall be identical. Each such Incremental Increase shall be effected pursuant to an amendment (an “Incremental Amendment”) to this Agreement and, as appropriate, the other Loan Documents, executed by the Borrower, the Administrative Agent and the applicable Lenders subject to such Incremental Increase, which Incremental Amendment may, without the consent of any other Lenders, effect such amendments to this Agreement and the other Loan Documents as may be necessary or appropriate, in the reasonable opinion of the Administrative Agent, to effect the provisions of this Section 2.25. All Incremental Increases (including extensions of credit thereunder) and Commitments shall share Liens (and proceeds resulting therefrom) from time to time securing such Incremental Increases and Commitments (if such Liens are granted at all) on an equal and ratable basis. All amounts owing under or in connection with Incremental Increases and Commitments shall constitute senior (and not subordinated) obligations and shall be repaid ratably on a pari passu basis (with the understanding that scheduled principal and interest payments and scheduled maturity dates may differ between Commitments, Incremental Revolving Commitments and Incremental Term Loan Commitments).</w:t>
      </w:r>
    </w:p>
    <w:p>
      <w:pPr>
        <w:spacing w:after="0" w:line="246" w:lineRule="exact"/>
        <w:rPr>
          <w:sz w:val="20"/>
          <w:szCs w:val="20"/>
          <w:color w:val="auto"/>
        </w:rPr>
      </w:pPr>
    </w:p>
    <w:p>
      <w:pPr>
        <w:jc w:val="right"/>
        <w:ind w:right="4980"/>
        <w:spacing w:after="0" w:line="371" w:lineRule="auto"/>
        <w:rPr>
          <w:sz w:val="20"/>
          <w:szCs w:val="20"/>
          <w:color w:val="auto"/>
        </w:rPr>
      </w:pPr>
      <w:r>
        <w:rPr>
          <w:rFonts w:ascii="Times New Roman" w:cs="Times New Roman" w:eastAsia="Times New Roman" w:hAnsi="Times New Roman"/>
          <w:sz w:val="21"/>
          <w:szCs w:val="21"/>
          <w:color w:val="auto"/>
        </w:rPr>
        <w:t xml:space="preserve">This Section shall supersede any provision in Section 8.3 to the contrary. </w:t>
      </w:r>
      <w:r>
        <w:rPr>
          <w:rFonts w:ascii="Times New Roman" w:cs="Times New Roman" w:eastAsia="Times New Roman" w:hAnsi="Times New Roman"/>
          <w:sz w:val="21"/>
          <w:szCs w:val="21"/>
          <w:b w:val="1"/>
          <w:bCs w:val="1"/>
          <w:color w:val="auto"/>
        </w:rPr>
        <w:t>ARTICLE III</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YIELD PROTECTION; TAXES</w:t>
      </w:r>
    </w:p>
    <w:p>
      <w:pPr>
        <w:spacing w:after="0" w:line="41"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13" w:lineRule="exact"/>
        <w:rPr>
          <w:sz w:val="20"/>
          <w:szCs w:val="20"/>
          <w:color w:val="auto"/>
        </w:rPr>
      </w:pPr>
    </w:p>
    <w:p>
      <w:pPr>
        <w:ind w:left="1740" w:hanging="449"/>
        <w:spacing w:after="0"/>
        <w:tabs>
          <w:tab w:leader="none" w:pos="17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Increased Costs Generally</w:t>
      </w:r>
      <w:r>
        <w:rPr>
          <w:rFonts w:ascii="Times New Roman" w:cs="Times New Roman" w:eastAsia="Times New Roman" w:hAnsi="Times New Roman"/>
          <w:sz w:val="21"/>
          <w:szCs w:val="21"/>
          <w:color w:val="auto"/>
        </w:rPr>
        <w:t>. If any Change in Law shall:</w:t>
      </w:r>
    </w:p>
    <w:p>
      <w:pPr>
        <w:spacing w:after="0" w:line="54" w:lineRule="exact"/>
        <w:rPr>
          <w:rFonts w:ascii="Times New Roman" w:cs="Times New Roman" w:eastAsia="Times New Roman" w:hAnsi="Times New Roman"/>
          <w:sz w:val="21"/>
          <w:szCs w:val="21"/>
          <w:color w:val="auto"/>
        </w:rPr>
      </w:pPr>
    </w:p>
    <w:p>
      <w:pPr>
        <w:jc w:val="both"/>
        <w:ind w:left="640" w:firstLine="1293"/>
        <w:spacing w:after="0" w:line="270" w:lineRule="auto"/>
        <w:tabs>
          <w:tab w:leader="none" w:pos="237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jc w:val="both"/>
        <w:ind w:left="640" w:firstLine="1293"/>
        <w:spacing w:after="0" w:line="264" w:lineRule="auto"/>
        <w:tabs>
          <w:tab w:leader="none" w:pos="2475"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any Recipient to any Taxes (other than (A) Indemnified Taxes, (B) Excluded Taxes and (C) Other Taxes) on its loans, loan principal, letters of credit, commitments, or other obligations, or its deposits, reserves, other liabilities or capital attributable thereto; or</w:t>
      </w:r>
    </w:p>
    <w:p>
      <w:pPr>
        <w:spacing w:after="0" w:line="2" w:lineRule="exact"/>
        <w:rPr>
          <w:rFonts w:ascii="Times New Roman" w:cs="Times New Roman" w:eastAsia="Times New Roman" w:hAnsi="Times New Roman"/>
          <w:sz w:val="21"/>
          <w:szCs w:val="21"/>
          <w:color w:val="auto"/>
        </w:rPr>
      </w:pPr>
    </w:p>
    <w:p>
      <w:pPr>
        <w:ind w:left="640" w:right="20" w:firstLine="1293"/>
        <w:spacing w:after="0" w:line="265" w:lineRule="auto"/>
        <w:tabs>
          <w:tab w:leader="none" w:pos="2505"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the LC Issuer or the London interbank market any other condition, cost or expense (other than Taxes) affecting this Agreement or Loans made by such Lender or any Facility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409" w:right="3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LC Issuer or such other Recipient of participating in, issuing or maintaining any Facility LC (or of maintaining its obligation to participate in or to issue any Facility LC), or to reduce the amount of any sum received or receivable by such Lender, LC Issuer or other Recipient hereunder (whether of principal, interest or any other amount) then, upon request of such Lender, LC Issuer or other Recipient, the Borrower will pay to such Lender, LC Issuer or other Recipient, as the case may be, such additional amount or amounts as will compensate such Lender, LC Issuer or other Recipient, as the case may be, for such additional costs incurred or reduction suffered.</w:t>
      </w:r>
    </w:p>
    <w:p>
      <w:pPr>
        <w:spacing w:after="0" w:line="2" w:lineRule="exact"/>
        <w:rPr>
          <w:sz w:val="20"/>
          <w:szCs w:val="20"/>
          <w:color w:val="auto"/>
        </w:rPr>
      </w:pPr>
    </w:p>
    <w:p>
      <w:pPr>
        <w:jc w:val="both"/>
        <w:ind w:firstLine="1291"/>
        <w:spacing w:after="0" w:line="255" w:lineRule="auto"/>
        <w:tabs>
          <w:tab w:leader="none" w:pos="178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Requirements</w:t>
      </w:r>
      <w:r>
        <w:rPr>
          <w:rFonts w:ascii="Times New Roman" w:cs="Times New Roman" w:eastAsia="Times New Roman" w:hAnsi="Times New Roman"/>
          <w:sz w:val="21"/>
          <w:szCs w:val="21"/>
          <w:color w:val="auto"/>
        </w:rPr>
        <w:t>. If any Lender or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Facility LCs or Swing Line Loans held by, such Lender, or the Facility LCs issued by the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and liquidity), then from time to time the Borrower will pay to such Lender or LC Issuer, as the case may be, such additional amount or amounts as will compensate such Lender or LC Issuer or such Lender’s or LC Issuer’s holding company for any such reduction suffered.</w:t>
      </w:r>
    </w:p>
    <w:p>
      <w:pPr>
        <w:spacing w:after="0" w:line="1" w:lineRule="exact"/>
        <w:rPr>
          <w:rFonts w:ascii="Times New Roman" w:cs="Times New Roman" w:eastAsia="Times New Roman" w:hAnsi="Times New Roman"/>
          <w:sz w:val="21"/>
          <w:szCs w:val="21"/>
          <w:color w:val="auto"/>
        </w:rPr>
      </w:pPr>
    </w:p>
    <w:p>
      <w:pPr>
        <w:jc w:val="both"/>
        <w:ind w:firstLine="642"/>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Certificates for Reimbursement; Delay in Requests</w:t>
      </w:r>
      <w:r>
        <w:rPr>
          <w:rFonts w:ascii="Times New Roman" w:cs="Times New Roman" w:eastAsia="Times New Roman" w:hAnsi="Times New Roman"/>
          <w:sz w:val="21"/>
          <w:szCs w:val="21"/>
          <w:color w:val="auto"/>
        </w:rPr>
        <w:t>. A certificate of a Lender or LC Issuer setting forth the amount or amounts necessary to compensate such Lender or LC Issuer or its holding company, as the case may be, as specified in Section 3.1 and delivered to the Borrower, shall be conclusive absent manifest error. The Borrower shall pay such Lender or LC Issuer, as the case may be, the amount shown as due on any such certificate within 10 days after receipt thereof. Failure or delay on the part of any Lender or LC Issuer to demand compensation pursuant to Section 3.1 shall not constitute a waiver of such Lender’s or LC Issuer’s right to demand such compensation; provided that the Borrower shall not be required to compensate a Lender or LC Issuer pursuant to Section 3.1 for any increased costs incurred or reductions suffered more than nine 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Availability of Types of Advances; Adequacy of Interest Rate; Benchmark Replacement</w:t>
      </w:r>
      <w:r>
        <w:rPr>
          <w:rFonts w:ascii="Times New Roman" w:cs="Times New Roman" w:eastAsia="Times New Roman" w:hAnsi="Times New Roman"/>
          <w:sz w:val="21"/>
          <w:szCs w:val="21"/>
          <w:color w:val="auto"/>
        </w:rPr>
        <w:t>.</w:t>
      </w:r>
    </w:p>
    <w:p>
      <w:pPr>
        <w:spacing w:after="0" w:line="109" w:lineRule="exact"/>
        <w:rPr>
          <w:sz w:val="20"/>
          <w:szCs w:val="20"/>
          <w:color w:val="auto"/>
        </w:rPr>
      </w:pPr>
    </w:p>
    <w:p>
      <w:pPr>
        <w:jc w:val="both"/>
        <w:ind w:firstLine="1291"/>
        <w:spacing w:after="0" w:line="271" w:lineRule="auto"/>
        <w:tabs>
          <w:tab w:leader="none" w:pos="178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Availability of Term SOFR Advances and Swing Line Loans accruing interest at the Term SOFR Swingline Rate</w:t>
      </w:r>
      <w:r>
        <w:rPr>
          <w:rFonts w:ascii="Times New Roman" w:cs="Times New Roman" w:eastAsia="Times New Roman" w:hAnsi="Times New Roman"/>
          <w:sz w:val="21"/>
          <w:szCs w:val="21"/>
          <w:color w:val="auto"/>
        </w:rPr>
        <w:t>. Notwithstanding anything to the contrary in this Agreement or any other Loan Document, but subject to Section 3.3(b), if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40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Agent determines (which determination shall be conclusive absent manifest error), or the Required Lenders notify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Administrative Agent that the Required Lenders have determined, that:</w:t>
      </w:r>
    </w:p>
    <w:p>
      <w:pPr>
        <w:spacing w:after="0" w:line="96" w:lineRule="exact"/>
        <w:rPr>
          <w:sz w:val="20"/>
          <w:szCs w:val="20"/>
          <w:color w:val="auto"/>
        </w:rPr>
      </w:pPr>
    </w:p>
    <w:p>
      <w:pPr>
        <w:jc w:val="both"/>
        <w:ind w:left="640" w:firstLine="1293"/>
        <w:spacing w:after="0" w:line="269" w:lineRule="auto"/>
        <w:tabs>
          <w:tab w:leader="none" w:pos="247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reason in connection with any request for a Term SOFR Advance or a Swing Line Loan accruing interest at the Term SOFR Swingline Rate or a conversion or continuation thereof that the Adjusted Term SOFR Screen Rate for any requested Interest Period with respect to a proposed Term SOFR Advance or Term SOFR Swingline Loan does not adequately and fairly reflect the cost to such Lenders of the funding such Loans, or</w:t>
      </w:r>
    </w:p>
    <w:p>
      <w:pPr>
        <w:spacing w:after="0" w:line="54" w:lineRule="exact"/>
        <w:rPr>
          <w:rFonts w:ascii="Times New Roman" w:cs="Times New Roman" w:eastAsia="Times New Roman" w:hAnsi="Times New Roman"/>
          <w:sz w:val="21"/>
          <w:szCs w:val="21"/>
          <w:color w:val="auto"/>
        </w:rPr>
      </w:pPr>
    </w:p>
    <w:p>
      <w:pPr>
        <w:jc w:val="both"/>
        <w:ind w:left="640" w:firstLine="1293"/>
        <w:spacing w:after="0" w:line="269" w:lineRule="auto"/>
        <w:tabs>
          <w:tab w:leader="none" w:pos="240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 rate applicable to Term SOFR Advances or Swing Line Loans accruing interest at the Term SOFR Swingline Rate for any requested Interest Period is not ascertainable or available (including, without limitation, because the applicable Screen (or on any successor or substitute page on such screen) is unavailable) and such inability to ascertain or unavailability is not expected to be permanent,</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then the Administrative Agent shall suspend the availability of Term SOFR Advances and Swing Line Loans accruing interest at the Term SOFR Swingline Rate and require any such affected Term SOFR Advances or Swing Line Loans to be repaid or converted to Base Rate Advances or Swing Line Loans accruing interest at the Base Rate, subject to the payment of any funding indemnification amounts required by Section 3.4.</w:t>
      </w:r>
    </w:p>
    <w:p>
      <w:pPr>
        <w:spacing w:after="0" w:line="74" w:lineRule="exact"/>
        <w:rPr>
          <w:sz w:val="20"/>
          <w:szCs w:val="20"/>
          <w:color w:val="auto"/>
        </w:rPr>
      </w:pPr>
    </w:p>
    <w:p>
      <w:pPr>
        <w:ind w:left="1760" w:hanging="469"/>
        <w:spacing w:after="0"/>
        <w:tabs>
          <w:tab w:leader="none" w:pos="17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w:t>
      </w:r>
    </w:p>
    <w:p>
      <w:pPr>
        <w:spacing w:after="0" w:line="119" w:lineRule="exact"/>
        <w:rPr>
          <w:rFonts w:ascii="Times New Roman" w:cs="Times New Roman" w:eastAsia="Times New Roman" w:hAnsi="Times New Roman"/>
          <w:sz w:val="21"/>
          <w:szCs w:val="21"/>
          <w:color w:val="auto"/>
        </w:rPr>
      </w:pPr>
    </w:p>
    <w:p>
      <w:pPr>
        <w:jc w:val="both"/>
        <w:ind w:left="640" w:firstLine="1293"/>
        <w:spacing w:after="0" w:line="257" w:lineRule="auto"/>
        <w:tabs>
          <w:tab w:leader="none" w:pos="243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Notwithstanding anything to the contrary herein or in any other Loan Document (and any agreement evidencing Swap Obligations shall be deemed not to be a “Loan Document” for purposes of this Section 3.3(b)),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by the Administrative Agent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409" w:right="339" w:bottom="1440" w:gutter="0" w:footer="0" w:header="0"/>
        </w:sectPr>
      </w:pPr>
    </w:p>
    <w:bookmarkStart w:id="64" w:name="page65"/>
    <w:bookmarkEnd w:id="64"/>
    <w:p>
      <w:pPr>
        <w:jc w:val="both"/>
        <w:ind w:left="-480" w:firstLine="1293"/>
        <w:spacing w:after="0" w:line="265" w:lineRule="auto"/>
        <w:tabs>
          <w:tab w:leader="none" w:pos="15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57" w:lineRule="exact"/>
        <w:rPr>
          <w:rFonts w:ascii="Times New Roman" w:cs="Times New Roman" w:eastAsia="Times New Roman" w:hAnsi="Times New Roman"/>
          <w:sz w:val="21"/>
          <w:szCs w:val="21"/>
          <w:color w:val="auto"/>
        </w:rPr>
      </w:pPr>
    </w:p>
    <w:p>
      <w:pPr>
        <w:jc w:val="both"/>
        <w:ind w:left="-480" w:firstLine="1293"/>
        <w:spacing w:after="0" w:line="259" w:lineRule="auto"/>
        <w:tabs>
          <w:tab w:leader="none" w:pos="135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Standards for Decisions and Determinations</w:t>
      </w:r>
      <w:r>
        <w:rPr>
          <w:rFonts w:ascii="Times New Roman" w:cs="Times New Roman" w:eastAsia="Times New Roman" w:hAnsi="Times New Roman"/>
          <w:sz w:val="21"/>
          <w:szCs w:val="21"/>
          <w:color w:val="auto"/>
        </w:rPr>
        <w:t>. 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or, if applicable, any Lender (or group of Lenders) pursuant to this Section 3.3(b),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3.3(b).</w:t>
      </w:r>
    </w:p>
    <w:p>
      <w:pPr>
        <w:spacing w:after="0" w:line="68" w:lineRule="exact"/>
        <w:rPr>
          <w:rFonts w:ascii="Times New Roman" w:cs="Times New Roman" w:eastAsia="Times New Roman" w:hAnsi="Times New Roman"/>
          <w:sz w:val="21"/>
          <w:szCs w:val="21"/>
          <w:color w:val="auto"/>
        </w:rPr>
      </w:pPr>
    </w:p>
    <w:p>
      <w:pPr>
        <w:jc w:val="both"/>
        <w:ind w:left="-480" w:firstLine="1293"/>
        <w:spacing w:after="0" w:line="258" w:lineRule="auto"/>
        <w:tabs>
          <w:tab w:leader="none" w:pos="143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Loan Document, at any time (including in connection with the implementation of a Benchmark Replacement), (i) if the then-current Benchmark is a term rate (including the Term SOFR Screen Rate or the Term SOFR Swingline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any tenor of such Benchmark that is unavailable or non-representative for any Benchmark settings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70" w:lineRule="exact"/>
        <w:rPr>
          <w:rFonts w:ascii="Times New Roman" w:cs="Times New Roman" w:eastAsia="Times New Roman" w:hAnsi="Times New Roman"/>
          <w:sz w:val="21"/>
          <w:szCs w:val="21"/>
          <w:color w:val="auto"/>
        </w:rPr>
      </w:pPr>
    </w:p>
    <w:p>
      <w:pPr>
        <w:jc w:val="both"/>
        <w:ind w:left="-480" w:firstLine="1293"/>
        <w:spacing w:after="0" w:line="269" w:lineRule="auto"/>
        <w:tabs>
          <w:tab w:leader="none" w:pos="142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Upon notice to the Borrower by the Administrative Agent in accordance with Section 13.1 of the commencement of a Benchmark Unavailability Period and until a Benchmark Replacement is determined in accordance with this Section 3.3(b), the Borrower may revoke any request for a Term SOFR Advance or Swing Line Loan accruing interest at the Term SOFR Swingline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0120"/>
          </w:cols>
          <w:pgMar w:left="1440" w:top="1409" w:right="339" w:bottom="1440" w:gutter="0" w:footer="0" w:header="0"/>
        </w:sectPr>
      </w:pPr>
    </w:p>
    <w:bookmarkStart w:id="65" w:name="page66"/>
    <w:bookmarkEnd w:id="65"/>
    <w:p>
      <w:pPr>
        <w:jc w:val="both"/>
        <w:ind w:left="640"/>
        <w:spacing w:after="0" w:line="260" w:lineRule="auto"/>
        <w:rPr>
          <w:sz w:val="20"/>
          <w:szCs w:val="20"/>
          <w:color w:val="auto"/>
        </w:rPr>
      </w:pPr>
      <w:r>
        <w:rPr>
          <w:rFonts w:ascii="Times New Roman" w:cs="Times New Roman" w:eastAsia="Times New Roman" w:hAnsi="Times New Roman"/>
          <w:sz w:val="21"/>
          <w:szCs w:val="21"/>
          <w:color w:val="auto"/>
        </w:rPr>
        <w:t>or any request for the conversion or continuation of a Term SOFR Advance or Swing Line Loan accruing interest at the Term SOFR Swingline Rate to be made, converted or continued during any Benchmark Unavailability Period at the end of the applicable Interest Period, and, failing that, the Borrower will be deemed to have converted any such request at the end of the applicable Interest Period into a request for a Base Rate Advance or conversion to a Base Rate Advance.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68"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Funding Indemnification</w:t>
      </w:r>
      <w:r>
        <w:rPr>
          <w:rFonts w:ascii="Times New Roman" w:cs="Times New Roman" w:eastAsia="Times New Roman" w:hAnsi="Times New Roman"/>
          <w:sz w:val="21"/>
          <w:szCs w:val="21"/>
          <w:color w:val="auto"/>
        </w:rPr>
        <w:t>. If (a) any payment of a Term SOFR Advance occurs on a date which is not the last day of the applicable Interest Period, whether because of acceleration, prepayment or otherwise, (b) a Term SOFR Advance is not made on the date specified by the Borrower for any reason other than default by the Lenders, (c) a Term SOFR Loan is converted other than on the last day of the Interest Period applicable thereto, (d) the Borrower fails to borrow, convert, continue or prepay any Term SOFR Advance on the date specified in any notice delivered pursuant hereto, or (e) any Term SOFR Advance is assigned other than on the last day of the Interest Period applicable thereto as a result of a request by the Borrower pursuant to Section 2.20, the Borrower will indemnify each Lender for such Lender’s documented, actual out-of-pocket costs, expenses and Interest Differential (as determined by such Lender) incurred as a result of such prepayment. The term “Interest Differential” shall mean that sum equal to the greater of zero or the financial loss incurred by the Lender resulting from prepayment, calculated as the difference between the amount of interest such Lender would have earned (from the investments in money markets as of the Borrowing Date of such Advance) had prepayment not occurred and the interest such Lender will actually earn (from like investments in money markets as of the date of prepayment) as a result of the redeployment of funds from the prepayment. Because of the short-term nature of this facility, Borrower agrees that Interest Differential shall not be discounted to its present value.</w:t>
      </w: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Borrower hereby acknowledges that the Borrower shall be required to pay Interest Differential with respect to any portion of the principal balance paid or that becomes due before its scheduled due date, whether voluntarily, involuntarily, or otherwise, including any principal payment made following default, demand for payment, acceleration, collection proceedings, bankruptcy or other insolvency proceedings or otherwise. Such prepayment fee shall at all times be an Obligation as well as an undertaking by the Borrower to the Lenders whether arising out of a voluntary or mandatory prepayment.</w:t>
      </w:r>
    </w:p>
    <w:p>
      <w:pPr>
        <w:spacing w:after="0" w:line="171"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66" w:lineRule="exact"/>
        <w:rPr>
          <w:sz w:val="20"/>
          <w:szCs w:val="20"/>
          <w:color w:val="auto"/>
        </w:rPr>
      </w:pPr>
    </w:p>
    <w:p>
      <w:pPr>
        <w:jc w:val="both"/>
        <w:ind w:firstLine="1291"/>
        <w:spacing w:after="0" w:line="263" w:lineRule="auto"/>
        <w:tabs>
          <w:tab w:leader="none" w:pos="176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payments by or on account of any obligation of any Loan Party under any Loan Document shall be made without deduction or withholding for any Taxes, except as required by applicable Law. If any applicable Law requires the deduction or withholding of any Tax from any such payment, then the applicable Loan Party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409" w:right="339" w:bottom="1440" w:gutter="0" w:footer="0" w:header="0"/>
        </w:sectPr>
      </w:pPr>
    </w:p>
    <w:bookmarkStart w:id="66" w:name="page67"/>
    <w:bookmarkEnd w:id="66"/>
    <w:p>
      <w:pPr>
        <w:jc w:val="both"/>
        <w:spacing w:after="0" w:line="271" w:lineRule="auto"/>
        <w:rPr>
          <w:sz w:val="20"/>
          <w:szCs w:val="20"/>
          <w:color w:val="auto"/>
        </w:rPr>
      </w:pPr>
      <w:r>
        <w:rPr>
          <w:rFonts w:ascii="Times New Roman" w:cs="Times New Roman" w:eastAsia="Times New Roman" w:hAnsi="Times New Roman"/>
          <w:sz w:val="21"/>
          <w:szCs w:val="21"/>
          <w:color w:val="auto"/>
        </w:rPr>
        <w:t>as necessary so that after such deduction or withholding has been made (including such deductions and withholdings applicable to additional sums payable under this Section 3.5) the applicable Recipient receives an amount equal to the sum it would have received had no such deduction or withholding been made.</w:t>
      </w:r>
    </w:p>
    <w:p>
      <w:pPr>
        <w:spacing w:after="0" w:line="11" w:lineRule="exact"/>
        <w:rPr>
          <w:sz w:val="20"/>
          <w:szCs w:val="20"/>
          <w:color w:val="auto"/>
        </w:rPr>
      </w:pPr>
    </w:p>
    <w:p>
      <w:pPr>
        <w:ind w:right="20" w:firstLine="1291"/>
        <w:spacing w:after="0" w:line="279" w:lineRule="auto"/>
        <w:tabs>
          <w:tab w:leader="none" w:pos="1769"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Parties shall timely pay to the relevant Governmental Authority in accordance with applicable Law or at the option of the Administrative Agent timely reimburse it for the payment of, any Other Taxes.</w:t>
      </w:r>
    </w:p>
    <w:p>
      <w:pPr>
        <w:jc w:val="both"/>
        <w:ind w:firstLine="1291"/>
        <w:spacing w:after="0" w:line="260" w:lineRule="auto"/>
        <w:tabs>
          <w:tab w:leader="none" w:pos="1788"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Parties shall indemnify such Recipient, within fifteen (15) days after demand therefor, for the full amount of any Indemnified Taxes (including Indemnified Taxes imposed or asserted on or attributable to amounts payable under this Section 3.5)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LC Issuer (with a copy to the Administrative Agent), or by the Administrative Agent on its own behalf or on behalf of a Lender or LC Issuer, shall be conclusive absent manifest error.</w:t>
      </w:r>
    </w:p>
    <w:p>
      <w:pPr>
        <w:spacing w:after="0" w:line="14" w:lineRule="exact"/>
        <w:rPr>
          <w:rFonts w:ascii="Times New Roman" w:cs="Times New Roman" w:eastAsia="Times New Roman" w:hAnsi="Times New Roman"/>
          <w:sz w:val="21"/>
          <w:szCs w:val="21"/>
          <w:color w:val="auto"/>
        </w:rPr>
      </w:pPr>
    </w:p>
    <w:p>
      <w:pPr>
        <w:jc w:val="both"/>
        <w:ind w:firstLine="1291"/>
        <w:spacing w:after="0" w:line="264" w:lineRule="auto"/>
        <w:tabs>
          <w:tab w:leader="none" w:pos="190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severally indemnify the Administrative Agent, within fifteen (15) days after demand therefor, for (i) any Indemnified Taxes attributable to such Lender (but only to the extent that any Loan Party has not already indemnified the Administrative Agent for such Indemnified Taxes and without limiting the obligation of the Loan Parties to do so),</w:t>
      </w:r>
    </w:p>
    <w:p>
      <w:pPr>
        <w:spacing w:after="0" w:line="2" w:lineRule="exact"/>
        <w:rPr>
          <w:rFonts w:ascii="Times New Roman" w:cs="Times New Roman" w:eastAsia="Times New Roman" w:hAnsi="Times New Roman"/>
          <w:sz w:val="21"/>
          <w:szCs w:val="21"/>
          <w:color w:val="auto"/>
        </w:rPr>
      </w:pPr>
    </w:p>
    <w:p>
      <w:pPr>
        <w:jc w:val="both"/>
        <w:ind w:firstLine="7"/>
        <w:spacing w:after="0" w:line="256" w:lineRule="auto"/>
        <w:tabs>
          <w:tab w:leader="none" w:pos="32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attributable to such Lender’s failure to comply with the provisions of Section 12.2(c)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5" w:lineRule="exact"/>
        <w:rPr>
          <w:rFonts w:ascii="Times New Roman" w:cs="Times New Roman" w:eastAsia="Times New Roman" w:hAnsi="Times New Roman"/>
          <w:sz w:val="21"/>
          <w:szCs w:val="21"/>
          <w:color w:val="auto"/>
        </w:rPr>
      </w:pPr>
    </w:p>
    <w:p>
      <w:pPr>
        <w:jc w:val="both"/>
        <w:ind w:firstLine="1291"/>
        <w:spacing w:after="0" w:line="269" w:lineRule="auto"/>
        <w:tabs>
          <w:tab w:leader="none" w:pos="1731"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after any payment of Taxes by any Loan Party to a Governmental Authority pursuant to this Section 3.5,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jc w:val="both"/>
        <w:ind w:firstLine="1291"/>
        <w:spacing w:after="0" w:line="263" w:lineRule="auto"/>
        <w:tabs>
          <w:tab w:leader="none" w:pos="1731"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409"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21"/>
          <w:szCs w:val="21"/>
          <w:color w:val="auto"/>
        </w:rPr>
        <w:t>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3.5(f)(ii)(A), (ii)(B) and (ii)</w:t>
      </w:r>
    </w:p>
    <w:p>
      <w:pPr>
        <w:spacing w:after="0" w:line="3" w:lineRule="exact"/>
        <w:rPr>
          <w:sz w:val="20"/>
          <w:szCs w:val="20"/>
          <w:color w:val="auto"/>
        </w:rPr>
      </w:pPr>
    </w:p>
    <w:p>
      <w:pPr>
        <w:jc w:val="both"/>
        <w:ind w:firstLine="7"/>
        <w:spacing w:after="0" w:line="259" w:lineRule="auto"/>
        <w:tabs>
          <w:tab w:leader="none" w:pos="36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0" w:lineRule="exact"/>
        <w:rPr>
          <w:rFonts w:ascii="Times New Roman" w:cs="Times New Roman" w:eastAsia="Times New Roman" w:hAnsi="Times New Roman"/>
          <w:sz w:val="21"/>
          <w:szCs w:val="21"/>
          <w:color w:val="auto"/>
        </w:rPr>
      </w:pPr>
    </w:p>
    <w:p>
      <w:pPr>
        <w:ind w:left="2400" w:hanging="467"/>
        <w:spacing w:after="0"/>
        <w:tabs>
          <w:tab w:leader="none" w:pos="240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w:t>
      </w:r>
    </w:p>
    <w:p>
      <w:pPr>
        <w:spacing w:after="0" w:line="79" w:lineRule="exact"/>
        <w:rPr>
          <w:rFonts w:ascii="Times New Roman" w:cs="Times New Roman" w:eastAsia="Times New Roman" w:hAnsi="Times New Roman"/>
          <w:sz w:val="21"/>
          <w:szCs w:val="21"/>
          <w:color w:val="auto"/>
        </w:rPr>
      </w:pPr>
    </w:p>
    <w:p>
      <w:pPr>
        <w:jc w:val="both"/>
        <w:ind w:left="1940" w:firstLine="635"/>
        <w:spacing w:after="0" w:line="261" w:lineRule="auto"/>
        <w:tabs>
          <w:tab w:leader="none" w:pos="3101"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that is a United States Person for U.S. federal income Tax purposes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0" w:lineRule="exact"/>
        <w:rPr>
          <w:rFonts w:ascii="Times New Roman" w:cs="Times New Roman" w:eastAsia="Times New Roman" w:hAnsi="Times New Roman"/>
          <w:sz w:val="21"/>
          <w:szCs w:val="21"/>
          <w:color w:val="auto"/>
        </w:rPr>
      </w:pPr>
    </w:p>
    <w:p>
      <w:pPr>
        <w:jc w:val="both"/>
        <w:ind w:left="1940" w:firstLine="635"/>
        <w:spacing w:after="0" w:line="265" w:lineRule="auto"/>
        <w:tabs>
          <w:tab w:leader="none" w:pos="3112"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spacing w:after="0" w:line="4" w:lineRule="exact"/>
        <w:rPr>
          <w:rFonts w:ascii="Times New Roman" w:cs="Times New Roman" w:eastAsia="Times New Roman" w:hAnsi="Times New Roman"/>
          <w:sz w:val="21"/>
          <w:szCs w:val="21"/>
          <w:color w:val="auto"/>
        </w:rPr>
      </w:pPr>
    </w:p>
    <w:p>
      <w:pPr>
        <w:jc w:val="both"/>
        <w:ind w:left="2580" w:firstLine="637"/>
        <w:spacing w:after="0" w:line="261" w:lineRule="auto"/>
        <w:tabs>
          <w:tab w:leader="none" w:pos="3688" w:val="left"/>
        </w:tabs>
        <w:numPr>
          <w:ilvl w:val="3"/>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w:t>
      </w:r>
    </w:p>
    <w:p>
      <w:pPr>
        <w:spacing w:after="0" w:line="3" w:lineRule="exact"/>
        <w:rPr>
          <w:rFonts w:ascii="Times New Roman" w:cs="Times New Roman" w:eastAsia="Times New Roman" w:hAnsi="Times New Roman"/>
          <w:sz w:val="21"/>
          <w:szCs w:val="21"/>
          <w:color w:val="auto"/>
        </w:rPr>
      </w:pPr>
    </w:p>
    <w:p>
      <w:pPr>
        <w:jc w:val="both"/>
        <w:ind w:left="2580"/>
        <w:spacing w:after="0" w:line="26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5" w:lineRule="exact"/>
        <w:rPr>
          <w:rFonts w:ascii="Times New Roman" w:cs="Times New Roman" w:eastAsia="Times New Roman" w:hAnsi="Times New Roman"/>
          <w:sz w:val="21"/>
          <w:szCs w:val="21"/>
          <w:color w:val="auto"/>
        </w:rPr>
      </w:pPr>
    </w:p>
    <w:p>
      <w:pPr>
        <w:ind w:left="3680" w:hanging="463"/>
        <w:spacing w:after="0"/>
        <w:tabs>
          <w:tab w:leader="none" w:pos="3680" w:val="left"/>
        </w:tabs>
        <w:numPr>
          <w:ilvl w:val="3"/>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copies of IRS Form W-8ECI;</w:t>
      </w:r>
    </w:p>
    <w:p>
      <w:pPr>
        <w:spacing w:after="0" w:line="66" w:lineRule="exact"/>
        <w:rPr>
          <w:rFonts w:ascii="Times New Roman" w:cs="Times New Roman" w:eastAsia="Times New Roman" w:hAnsi="Times New Roman"/>
          <w:sz w:val="21"/>
          <w:szCs w:val="21"/>
          <w:color w:val="auto"/>
        </w:rPr>
      </w:pPr>
    </w:p>
    <w:p>
      <w:pPr>
        <w:jc w:val="both"/>
        <w:ind w:left="2580" w:firstLine="637"/>
        <w:spacing w:after="0" w:line="265" w:lineRule="auto"/>
        <w:tabs>
          <w:tab w:leader="none" w:pos="3748" w:val="left"/>
        </w:tabs>
        <w:numPr>
          <w:ilvl w:val="3"/>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Non-U.S. Lender claiming the benefits of the exemption for portfolio interest under Section 881(c) of the Code, (x) a certificate to the effect that such Non-U.S. Lender is not a “bank” within the meaning of Section 881(c)(3)(A) of the Code, a “10 percent shareholder” of the Borrower within the meaning of Section 881(c)(3)(B) of the Code, or a “controlled foreign corporation” related to the Borrower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409" w:right="339" w:bottom="1440" w:gutter="0" w:footer="0" w:header="0"/>
        </w:sectPr>
      </w:pPr>
    </w:p>
    <w:bookmarkStart w:id="68" w:name="page69"/>
    <w:bookmarkEnd w:id="68"/>
    <w:p>
      <w:pPr>
        <w:ind w:left="2580"/>
        <w:spacing w:after="0" w:line="279" w:lineRule="auto"/>
        <w:rPr>
          <w:sz w:val="20"/>
          <w:szCs w:val="20"/>
          <w:color w:val="auto"/>
        </w:rPr>
      </w:pPr>
      <w:r>
        <w:rPr>
          <w:rFonts w:ascii="Times New Roman" w:cs="Times New Roman" w:eastAsia="Times New Roman" w:hAnsi="Times New Roman"/>
          <w:sz w:val="21"/>
          <w:szCs w:val="21"/>
          <w:color w:val="auto"/>
        </w:rPr>
        <w:t>described in Section 881(c)(3)(C) of the Code and (y) executed copies of IRS Form W-8BEN or IRS Form W-8BEN-E; or</w:t>
      </w:r>
    </w:p>
    <w:p>
      <w:pPr>
        <w:jc w:val="both"/>
        <w:ind w:left="2580" w:firstLine="637"/>
        <w:spacing w:after="0" w:line="269" w:lineRule="auto"/>
        <w:tabs>
          <w:tab w:leader="none" w:pos="3778"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Non-U.S. Lender is not the beneficial owner, executed copies of IRS Form W-8IMY, accompanied by IRS Form W-8ECI, IRS Form W-8BEN, IRS Form W-8BEN-E, IRS Form W-8IMY or IRS Form W-9, and/or other certification documents from each beneficial owner, as applicable.</w:t>
      </w:r>
    </w:p>
    <w:p>
      <w:pPr>
        <w:jc w:val="both"/>
        <w:ind w:left="1940" w:firstLine="635"/>
        <w:spacing w:after="0" w:line="259" w:lineRule="auto"/>
        <w:tabs>
          <w:tab w:leader="none" w:pos="311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8" w:lineRule="exact"/>
        <w:rPr>
          <w:rFonts w:ascii="Times New Roman" w:cs="Times New Roman" w:eastAsia="Times New Roman" w:hAnsi="Times New Roman"/>
          <w:sz w:val="21"/>
          <w:szCs w:val="21"/>
          <w:color w:val="auto"/>
        </w:rPr>
      </w:pPr>
    </w:p>
    <w:p>
      <w:pPr>
        <w:jc w:val="both"/>
        <w:ind w:left="1940" w:firstLine="635"/>
        <w:spacing w:after="0" w:line="258" w:lineRule="auto"/>
        <w:tabs>
          <w:tab w:leader="none" w:pos="3171"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4" w:lineRule="exact"/>
        <w:rPr>
          <w:rFonts w:ascii="Times New Roman" w:cs="Times New Roman" w:eastAsia="Times New Roman" w:hAnsi="Times New Roman"/>
          <w:sz w:val="21"/>
          <w:szCs w:val="21"/>
          <w:color w:val="auto"/>
        </w:rPr>
      </w:pPr>
    </w:p>
    <w:p>
      <w:pPr>
        <w:jc w:val="both"/>
        <w:ind w:left="1940" w:hanging="7"/>
        <w:spacing w:after="0" w:line="257" w:lineRule="auto"/>
        <w:tabs>
          <w:tab w:leader="none" w:pos="227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6" w:lineRule="exact"/>
        <w:rPr>
          <w:sz w:val="20"/>
          <w:szCs w:val="20"/>
          <w:color w:val="auto"/>
        </w:rPr>
      </w:pPr>
    </w:p>
    <w:p>
      <w:pPr>
        <w:jc w:val="both"/>
        <w:ind w:left="640" w:firstLine="1293"/>
        <w:spacing w:after="0" w:line="270" w:lineRule="auto"/>
        <w:tabs>
          <w:tab w:leader="none" w:pos="261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jc w:val="both"/>
        <w:ind w:firstLine="1291"/>
        <w:spacing w:after="0" w:line="269" w:lineRule="auto"/>
        <w:tabs>
          <w:tab w:leader="none" w:pos="175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party determines, in its sole discretion exercised in good faith, that it has received a refund of any Taxes as to which it has been indemnified pursuant to this Section 3.5 (including by the payment of additional amounts pursuant to this Section 3.5), it shall pay to the indemnifying party an amount equal to such refund (but only to the extent of indemnity payments made under this Section 3.5 with respect to the Taxes giving rise to such refund),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409" w:right="339" w:bottom="1440" w:gutter="0" w:footer="0" w:header="0"/>
        </w:sectPr>
      </w:pPr>
    </w:p>
    <w:bookmarkStart w:id="69" w:name="page70"/>
    <w:bookmarkEnd w:id="69"/>
    <w:p>
      <w:pPr>
        <w:jc w:val="both"/>
        <w:spacing w:after="0" w:line="259" w:lineRule="auto"/>
        <w:rPr>
          <w:sz w:val="20"/>
          <w:szCs w:val="20"/>
          <w:color w:val="auto"/>
        </w:rPr>
      </w:pPr>
      <w:r>
        <w:rPr>
          <w:rFonts w:ascii="Times New Roman" w:cs="Times New Roman" w:eastAsia="Times New Roman" w:hAnsi="Times New Roman"/>
          <w:sz w:val="21"/>
          <w:szCs w:val="21"/>
          <w:color w:val="auto"/>
        </w:rPr>
        <w:t>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 w:lineRule="exact"/>
        <w:rPr>
          <w:sz w:val="20"/>
          <w:szCs w:val="20"/>
          <w:color w:val="auto"/>
        </w:rPr>
      </w:pPr>
    </w:p>
    <w:p>
      <w:pPr>
        <w:jc w:val="both"/>
        <w:ind w:firstLine="1291"/>
        <w:spacing w:after="0" w:line="270" w:lineRule="auto"/>
        <w:tabs>
          <w:tab w:leader="none" w:pos="200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party’s obligations under this Section 3.5 shall survive the resignation or replacement of the Administrative Agent or any assignment of rights by, or the replacement of, a Lender, the termination of the Commitments and the repayment, satisfaction or discharge of all obligations under any Loan Document.</w:t>
      </w:r>
    </w:p>
    <w:p>
      <w:pPr>
        <w:ind w:left="1700" w:hanging="409"/>
        <w:spacing w:after="0"/>
        <w:tabs>
          <w:tab w:leader="none" w:pos="170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3.5(d) and (f), the term “Lender” includes the LC Issuer.</w:t>
      </w:r>
    </w:p>
    <w:p>
      <w:pPr>
        <w:spacing w:after="0" w:line="79"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Selection of Lending Installation; Mitigation Obligations; Lender Statements; Survival of Indemnity</w:t>
      </w:r>
      <w:r>
        <w:rPr>
          <w:rFonts w:ascii="Times New Roman" w:cs="Times New Roman" w:eastAsia="Times New Roman" w:hAnsi="Times New Roman"/>
          <w:sz w:val="21"/>
          <w:szCs w:val="21"/>
          <w:color w:val="auto"/>
        </w:rPr>
        <w:t>. To the extent reasonably possible, each Lender shall designate an alternate Lending Installation with respect to its Term SOFR Loans or Swing Line Loans accruing interest at the Term SOFR Swingline Rate (in the case of the Swing Line Lender) to reduce any liability of the Borrower to such Lender under Sections 3.1, 3.2 and 3.5 or to avoid the unavailability of Term SOFR Advances or Swing Line Loans accruing interest at the Term SOFR Swingline Rate under Section 3.3, so long as such designation is not, in the judgment of such Lender, disadvantageous to such Lender. Each Lender shall deliver a written statement of such Lender to the Borrower (with a copy to the Administrative Agent) as to the amount due, if any, under Section 3.1, 3.2, 3.4 or 3.5. Such written statement shall set forth in reasonable detail the calculations upon which such Lender determined such amount and shall be final, conclusive and binding on the Borrower in the absence of manifest error. Determination of amounts payable under such Sections in connection with a Term SOFR Loan or Swing Line Loans accruing interest at the Term SOFR Swingline Rate shall be calculated as though each Lender funded its Term SOFR Loan and the Swing Line Lender funded its Swing Line Loan accruing interest at the Term SOFR Swingline Rate through the purchase of a deposit of the type and maturity corresponding to the deposit used as a reference in determining the Term SOFR Screen Rate or the Term SOFR Swingline Rate applicable to such Loan, whether in fact that is the case or not. Unless otherwise provided herein, the amount specified in the written statement of any Lender shall be payable on demand after receipt by the Borrower of such written statement. The obligations of the Borrower under Sections 3.1, 3.2, 3.4 and 3.5 shall survive payment of the Obligations and termination of this Agreement.</w:t>
      </w:r>
    </w:p>
    <w:p>
      <w:pPr>
        <w:spacing w:after="0" w:line="12" w:lineRule="exact"/>
        <w:rPr>
          <w:sz w:val="20"/>
          <w:szCs w:val="20"/>
          <w:color w:val="auto"/>
        </w:rPr>
      </w:pPr>
    </w:p>
    <w:p>
      <w:pPr>
        <w:jc w:val="both"/>
        <w:ind w:firstLine="642"/>
        <w:spacing w:after="0" w:line="265"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If any Lender determines that any Law has made it unlawful, or that any Governmental Authority has asserted that it is unlawful, for any Lender or its applicable lending office to make, maintain, or fund Advances whose interest is determined by reference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409" w:right="339" w:bottom="1440" w:gutter="0" w:footer="0" w:header="0"/>
        </w:sectPr>
      </w:pPr>
    </w:p>
    <w:bookmarkStart w:id="70" w:name="page71"/>
    <w:bookmarkEnd w:id="70"/>
    <w:p>
      <w:pPr>
        <w:jc w:val="both"/>
        <w:spacing w:after="0" w:line="256" w:lineRule="auto"/>
        <w:rPr>
          <w:sz w:val="20"/>
          <w:szCs w:val="20"/>
          <w:color w:val="auto"/>
        </w:rPr>
      </w:pPr>
      <w:r>
        <w:rPr>
          <w:rFonts w:ascii="Times New Roman" w:cs="Times New Roman" w:eastAsia="Times New Roman" w:hAnsi="Times New Roman"/>
          <w:sz w:val="21"/>
          <w:szCs w:val="21"/>
          <w:color w:val="auto"/>
        </w:rPr>
        <w:t>the Term SOFR Screen Rate, or to determine or charge interest rates based upon the Term SOFR Screen Rate, or any Governmental Authority has imposed material restrictions on the authority of such Lender to purchase or sell, or to take deposits of, Dollars in the London interbank market, then, upon notice thereof by such Lender to the Borrower (through the Administrative Agent), (a) any obligation of such Lender to make or continue Term SOFR Advances or Swing Line Loans accruing interest at the Term SOFR Swingline Rate or to convert Base Rate Advances to Term SOFR Advances or Swing Line Loans accruing interest at the Term SOFR Swingline Rate shall be suspended, and (b) if such notice asserts the illegality of such Lender making or maintaining Base Rate Advances the interest rate on which is determined by reference to the Adjusted Term SOFR Screen Rate component of the Base Rate, the interest rate on which Base Rate Advances of such Lender shall, if necessary to avoid such illegality, be determined by the Administrative Agent without reference to the Adjusted Term SOFR Screen Rate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Advances or Swing Line Loans accruing interest at the Term SOFR Swingline Rate of such Lender to Base Rate Advances (the interest rate on which Base Rate Advances of such Lender shall, if necessary to avoid such illegality, be determined by the Administrative Agent without reference to the Adjusted Term SOFR Screen Rate component of the Base Rate), either on the last day of the Interest Period therefor, if such Lender may lawfully continue to maintain such Term SOFR Advances or Swing Line Loans accruing interest at the Term SOFR Swingline Rate to such day, or immediately, if such Lender may not lawfully continue to maintain such Term SOFR Advances or Swing Line Loans accruing interest at the Term SOFR Swingline Rate and (ii) if such notice asserts the illegality of such Lender determining or charging interest rates based upon the Term SOFR Screen Rate, the Administrative Agent shall during the period of such suspension compute the Base Rate applicable to such Lender without reference to the Adjusted Term SOFR Screen Rate component thereof until the Administrative Agent is advised in writing by such Lender that it is no longer illegal for such Lender to determine or charge interest rates based upon the Term SOFR Screen Rate. Upon any such prepayment or conversion, the Borrower shall also pay accrued interest on the amount so prepaid or converted, together with any additional amounts required pursuant to Section 3.4.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CONDITIONS PRECEDENT</w:t>
      </w:r>
    </w:p>
    <w:p>
      <w:pPr>
        <w:spacing w:after="0" w:line="231"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Initial Credit Extension</w:t>
      </w:r>
      <w:r>
        <w:rPr>
          <w:rFonts w:ascii="Times New Roman" w:cs="Times New Roman" w:eastAsia="Times New Roman" w:hAnsi="Times New Roman"/>
          <w:sz w:val="21"/>
          <w:szCs w:val="21"/>
          <w:color w:val="auto"/>
        </w:rPr>
        <w:t>. The Lenders shall not be required to make the initial Credit Extension hereunder unless each of the following conditions is satisfied:</w:t>
      </w:r>
    </w:p>
    <w:p>
      <w:pPr>
        <w:spacing w:after="0" w:line="1" w:lineRule="exact"/>
        <w:rPr>
          <w:sz w:val="20"/>
          <w:szCs w:val="20"/>
          <w:color w:val="auto"/>
        </w:rPr>
      </w:pPr>
    </w:p>
    <w:p>
      <w:pPr>
        <w:ind w:left="1900" w:hanging="609"/>
        <w:spacing w:after="0"/>
        <w:tabs>
          <w:tab w:leader="none" w:pos="19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executed counterparts of each of this Agreement and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Guaranty.</w:t>
      </w:r>
    </w:p>
    <w:p>
      <w:pPr>
        <w:spacing w:after="0" w:line="216" w:lineRule="exact"/>
        <w:rPr>
          <w:sz w:val="20"/>
          <w:szCs w:val="20"/>
          <w:color w:val="auto"/>
        </w:rPr>
      </w:pPr>
    </w:p>
    <w:p>
      <w:pPr>
        <w:jc w:val="both"/>
        <w:ind w:firstLine="1291"/>
        <w:spacing w:after="0" w:line="271" w:lineRule="auto"/>
        <w:tabs>
          <w:tab w:leader="none" w:pos="191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certificate, signed by the chief financial officer of the Borrower, stating that on the date of the initial Credit Extension (1) no Default or Event of Default has occurred and is continuing and (2) the representations and warranties contained in Article V are (x) with respect to any representations or warranties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409" w:right="339" w:bottom="1440" w:gutter="0" w:footer="0" w:header="0"/>
        </w:sectPr>
      </w:pPr>
    </w:p>
    <w:bookmarkStart w:id="71" w:name="page72"/>
    <w:bookmarkEnd w:id="71"/>
    <w:p>
      <w:pPr>
        <w:jc w:val="both"/>
        <w:spacing w:after="0" w:line="262" w:lineRule="auto"/>
        <w:rPr>
          <w:sz w:val="20"/>
          <w:szCs w:val="20"/>
          <w:color w:val="auto"/>
        </w:rPr>
      </w:pPr>
      <w:r>
        <w:rPr>
          <w:rFonts w:ascii="Times New Roman" w:cs="Times New Roman" w:eastAsia="Times New Roman" w:hAnsi="Times New Roman"/>
          <w:sz w:val="21"/>
          <w:szCs w:val="21"/>
          <w:color w:val="auto"/>
        </w:rPr>
        <w:t>contain a materiality qualifier, true and correct in all respects as of such date, except to the extent any such representation or warranty is stated to relate solely to an earlier date, in which case such representation or warranty shall have been true and correct in all respects on and as of such earlier date and (y) with respect to any representations or warranties that do not contain a materiality qualifier, true and correct in all material respects as of such date, except to the extent any such representation or warranty is stated to relate solely to an earlier date, in which case such representation or warranty shall have been true and correct in all material respects on and as of such earlier date.</w:t>
      </w:r>
    </w:p>
    <w:p>
      <w:pPr>
        <w:spacing w:after="0" w:line="170" w:lineRule="exact"/>
        <w:rPr>
          <w:sz w:val="20"/>
          <w:szCs w:val="20"/>
          <w:color w:val="auto"/>
        </w:rPr>
      </w:pPr>
    </w:p>
    <w:p>
      <w:pPr>
        <w:jc w:val="both"/>
        <w:ind w:firstLine="1291"/>
        <w:spacing w:after="0" w:line="277" w:lineRule="auto"/>
        <w:tabs>
          <w:tab w:leader="none" w:pos="186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written opinion of the Borrower’s counsel, in form and substance acceptable to the Administrative Agent, addressed to the Lenders, substantially covering the opinions reasonably required by the Administrative Agent.</w:t>
      </w:r>
    </w:p>
    <w:p>
      <w:pPr>
        <w:spacing w:after="0" w:line="153" w:lineRule="exact"/>
        <w:rPr>
          <w:rFonts w:ascii="Times New Roman" w:cs="Times New Roman" w:eastAsia="Times New Roman" w:hAnsi="Times New Roman"/>
          <w:sz w:val="21"/>
          <w:szCs w:val="21"/>
          <w:color w:val="auto"/>
        </w:rPr>
      </w:pPr>
    </w:p>
    <w:p>
      <w:pPr>
        <w:ind w:firstLine="1291"/>
        <w:spacing w:after="0" w:line="289" w:lineRule="auto"/>
        <w:tabs>
          <w:tab w:leader="none" w:pos="185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any Notes requested by a Lender pursuant to Section 2.13 payable to the order of each such requesting Lender.</w:t>
      </w:r>
    </w:p>
    <w:p>
      <w:pPr>
        <w:spacing w:after="0" w:line="140" w:lineRule="exact"/>
        <w:rPr>
          <w:rFonts w:ascii="Times New Roman" w:cs="Times New Roman" w:eastAsia="Times New Roman" w:hAnsi="Times New Roman"/>
          <w:sz w:val="21"/>
          <w:szCs w:val="21"/>
          <w:color w:val="auto"/>
        </w:rPr>
      </w:pPr>
    </w:p>
    <w:p>
      <w:pPr>
        <w:jc w:val="both"/>
        <w:ind w:firstLine="1291"/>
        <w:spacing w:after="0" w:line="265" w:lineRule="auto"/>
        <w:tabs>
          <w:tab w:leader="none" w:pos="181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such documents and certificates relating to the organization, existence and good standing of the Borrower and each initial Guarantor, the authorization of the transactions contemplated hereby and any other legal matters relating to the Borrower and such Guarantors, the Loan Documents or the transactions contemplated hereby, all in form and substance satisfactory to the Administrative Agent and its counsel and as further described in the list of closing documents attached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ind w:firstLine="1291"/>
        <w:spacing w:after="0" w:line="289" w:lineRule="auto"/>
        <w:tabs>
          <w:tab w:leader="none" w:pos="174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initial Credit Extension will be the issuance of a Facility LC (other than the Existing Letters of Credit), the Administrative Agent shall have received a properly completed Facility LC Application.</w:t>
      </w:r>
    </w:p>
    <w:p>
      <w:pPr>
        <w:spacing w:after="0" w:line="140" w:lineRule="exact"/>
        <w:rPr>
          <w:rFonts w:ascii="Times New Roman" w:cs="Times New Roman" w:eastAsia="Times New Roman" w:hAnsi="Times New Roman"/>
          <w:sz w:val="21"/>
          <w:szCs w:val="21"/>
          <w:color w:val="auto"/>
        </w:rPr>
      </w:pPr>
    </w:p>
    <w:p>
      <w:pPr>
        <w:jc w:val="both"/>
        <w:ind w:firstLine="1291"/>
        <w:spacing w:after="0" w:line="277" w:lineRule="auto"/>
        <w:tabs>
          <w:tab w:leader="none" w:pos="179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all fees and other amounts due and payable on or prior to the Effective Date, including, to the extent invoiced, reimbursement or payment of all out-of-pocket expenses required to be reimbursed or paid by the Borrower hereunder.</w:t>
      </w:r>
    </w:p>
    <w:p>
      <w:pPr>
        <w:spacing w:after="0" w:line="153" w:lineRule="exact"/>
        <w:rPr>
          <w:rFonts w:ascii="Times New Roman" w:cs="Times New Roman" w:eastAsia="Times New Roman" w:hAnsi="Times New Roman"/>
          <w:sz w:val="21"/>
          <w:szCs w:val="21"/>
          <w:color w:val="auto"/>
        </w:rPr>
      </w:pPr>
    </w:p>
    <w:p>
      <w:pPr>
        <w:jc w:val="both"/>
        <w:ind w:firstLine="1291"/>
        <w:spacing w:after="0" w:line="271" w:lineRule="auto"/>
        <w:tabs>
          <w:tab w:leader="none" w:pos="180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not have occurred a material adverse change (x) in the business, Property, liabilities (actual and contingent), operations or condition (financial or otherwise), or results of operations, of the Borrower and its Subsidiaries taken as a whole, since June 30, 2025 or (y) in the facts and information regarding such entities as represented by such entities to date.</w:t>
      </w:r>
    </w:p>
    <w:p>
      <w:pPr>
        <w:spacing w:after="0" w:line="171" w:lineRule="exact"/>
        <w:rPr>
          <w:rFonts w:ascii="Times New Roman" w:cs="Times New Roman" w:eastAsia="Times New Roman" w:hAnsi="Times New Roman"/>
          <w:sz w:val="21"/>
          <w:szCs w:val="21"/>
          <w:color w:val="auto"/>
        </w:rPr>
      </w:pPr>
    </w:p>
    <w:p>
      <w:pPr>
        <w:jc w:val="both"/>
        <w:ind w:firstLine="1291"/>
        <w:spacing w:after="0" w:line="261" w:lineRule="auto"/>
        <w:tabs>
          <w:tab w:leader="none" w:pos="180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evidence of all governmental, equity holder and third party consents and approvals necessary in connection with the contemplated financing and all applicable waiting periods shall have expired without any action being taken by any authority that would be reasonably likely to restrain, prevent or impose any material adverse conditions on the Borrower and its Subsidiaries, taken as a whole, and no law or regulation shall be applicable which in the reasonable judgment of the Administrative Agent could have such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409" w:right="339" w:bottom="1440" w:gutter="0" w:footer="0" w:header="0"/>
        </w:sectPr>
      </w:pPr>
    </w:p>
    <w:bookmarkStart w:id="72" w:name="page73"/>
    <w:bookmarkEnd w:id="72"/>
    <w:p>
      <w:pPr>
        <w:jc w:val="both"/>
        <w:ind w:firstLine="1291"/>
        <w:spacing w:after="0" w:line="271" w:lineRule="auto"/>
        <w:tabs>
          <w:tab w:leader="none" w:pos="171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action, suit, investigation or proceeding is pending or, to the knowledge of the Borrower, threatened in any court or before any arbitrator or Governmental Authority that would reasonably be expected to result in a Material Adverse Effect or which seeks to prevent, enjoin or delay the making of any Credit Extensions.</w:t>
      </w:r>
    </w:p>
    <w:p>
      <w:pPr>
        <w:spacing w:after="0" w:line="171" w:lineRule="exact"/>
        <w:rPr>
          <w:rFonts w:ascii="Times New Roman" w:cs="Times New Roman" w:eastAsia="Times New Roman" w:hAnsi="Times New Roman"/>
          <w:sz w:val="21"/>
          <w:szCs w:val="21"/>
          <w:color w:val="auto"/>
        </w:rPr>
      </w:pPr>
    </w:p>
    <w:p>
      <w:pPr>
        <w:jc w:val="both"/>
        <w:ind w:firstLine="1291"/>
        <w:spacing w:after="0" w:line="258" w:lineRule="auto"/>
        <w:tabs>
          <w:tab w:leader="none" w:pos="1873"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to the extent requested: (i) pro forma financial statements giving effect to the initial Credit Extensions contemplated hereby, which demonstrate, in the Administrative Agent’s reasonable judgment, together with all other information then available to the Administrative Agent, that the Borrower can repay its debts and satisfy its other obligations as and when they become due, and can comply with the financial covenants set forth in Section 6.20,</w:t>
      </w:r>
    </w:p>
    <w:p>
      <w:pPr>
        <w:spacing w:after="0" w:line="2" w:lineRule="exact"/>
        <w:rPr>
          <w:rFonts w:ascii="Times New Roman" w:cs="Times New Roman" w:eastAsia="Times New Roman" w:hAnsi="Times New Roman"/>
          <w:sz w:val="21"/>
          <w:szCs w:val="21"/>
          <w:color w:val="auto"/>
        </w:rPr>
      </w:pPr>
    </w:p>
    <w:p>
      <w:pPr>
        <w:jc w:val="both"/>
        <w:ind w:firstLine="7"/>
        <w:spacing w:after="0" w:line="265" w:lineRule="auto"/>
        <w:tabs>
          <w:tab w:leader="none" w:pos="31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information as the Administrative Agent may reasonably request to confirm the tax, legal, and business assumptions made in such pro forma financial statements, and (iii) audited consolidated financial statements of the Borrower and its Subsidiaries for the fiscal years ended June 30, 2023, 2024, and 2025.</w:t>
      </w:r>
    </w:p>
    <w:p>
      <w:pPr>
        <w:spacing w:after="0" w:line="165" w:lineRule="exact"/>
        <w:rPr>
          <w:rFonts w:ascii="Times New Roman" w:cs="Times New Roman" w:eastAsia="Times New Roman" w:hAnsi="Times New Roman"/>
          <w:sz w:val="21"/>
          <w:szCs w:val="21"/>
          <w:color w:val="auto"/>
        </w:rPr>
      </w:pPr>
    </w:p>
    <w:p>
      <w:pPr>
        <w:jc w:val="both"/>
        <w:ind w:firstLine="1291"/>
        <w:spacing w:after="0" w:line="264" w:lineRule="auto"/>
        <w:tabs>
          <w:tab w:leader="none" w:pos="176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reasonable request of any Lender made at least ten days prior to the Effective Date, the Borrower must have provided to such Lender the documentation and other information so requested in connection with applicable “know your customer” and anti-money-laundering rules and regulations, including the PATRIOT Act, in each case at least five days prior to the Effective Date.</w:t>
      </w:r>
    </w:p>
    <w:p>
      <w:pPr>
        <w:spacing w:after="0" w:line="181" w:lineRule="exact"/>
        <w:rPr>
          <w:rFonts w:ascii="Times New Roman" w:cs="Times New Roman" w:eastAsia="Times New Roman" w:hAnsi="Times New Roman"/>
          <w:sz w:val="21"/>
          <w:szCs w:val="21"/>
          <w:color w:val="auto"/>
        </w:rPr>
      </w:pPr>
    </w:p>
    <w:p>
      <w:pPr>
        <w:ind w:firstLine="1291"/>
        <w:spacing w:after="0" w:line="289" w:lineRule="auto"/>
        <w:tabs>
          <w:tab w:leader="none" w:pos="182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five days prior to the Effective Date, if the Borrower qualifies as a “legal entity customer” under the Beneficial Ownership Regulation, the Borrower must deliver a Beneficial Ownership Certification in relation to Borrower.</w:t>
      </w:r>
    </w:p>
    <w:p>
      <w:pPr>
        <w:spacing w:after="0" w:line="140" w:lineRule="exact"/>
        <w:rPr>
          <w:rFonts w:ascii="Times New Roman" w:cs="Times New Roman" w:eastAsia="Times New Roman" w:hAnsi="Times New Roman"/>
          <w:sz w:val="21"/>
          <w:szCs w:val="21"/>
          <w:color w:val="auto"/>
        </w:rPr>
      </w:pPr>
    </w:p>
    <w:p>
      <w:pPr>
        <w:jc w:val="both"/>
        <w:ind w:firstLine="1291"/>
        <w:spacing w:after="0" w:line="269" w:lineRule="auto"/>
        <w:tabs>
          <w:tab w:leader="none" w:pos="178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evidence reasonably satisfactory to it of the termination of the Prior Credit Agreement and the agreements, documents and instruments delivered in connection therewith (other than the Existing Letters of Credit), the termination of all commitments to extend credit thereunder, and the repayment of the obligations (other than those evidenced by the Existing Letters of Credit) outstanding under or in connection therewith.</w:t>
      </w:r>
    </w:p>
    <w:p>
      <w:pPr>
        <w:spacing w:after="0" w:line="161"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Each Credit Extension</w:t>
      </w:r>
      <w:r>
        <w:rPr>
          <w:rFonts w:ascii="Times New Roman" w:cs="Times New Roman" w:eastAsia="Times New Roman" w:hAnsi="Times New Roman"/>
          <w:sz w:val="21"/>
          <w:szCs w:val="21"/>
          <w:color w:val="auto"/>
        </w:rPr>
        <w:t>. The Lenders shall not (except as otherwise set forth in Section 2.4(d) with respect to Revolving Loans for the purpose of repaying Swing Line Loans or with respect to advances made for any Reimbursement Obligations for draws under a Facility LC) be required to make any Credit Extension (other than a conversion or continuation of an Advance) unless on the applicable Borrowing Date:</w:t>
      </w:r>
    </w:p>
    <w:p>
      <w:pPr>
        <w:spacing w:after="0" w:line="3" w:lineRule="exact"/>
        <w:rPr>
          <w:sz w:val="20"/>
          <w:szCs w:val="20"/>
          <w:color w:val="auto"/>
        </w:rPr>
      </w:pPr>
    </w:p>
    <w:p>
      <w:pPr>
        <w:ind w:left="1780" w:hanging="489"/>
        <w:spacing w:after="0"/>
        <w:tabs>
          <w:tab w:leader="none" w:pos="17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exists no Default or Event of Default, nor would a Default or Event of Default result from such Credit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Extension.</w:t>
      </w:r>
    </w:p>
    <w:p>
      <w:pPr>
        <w:spacing w:after="0" w:line="203" w:lineRule="exact"/>
        <w:rPr>
          <w:sz w:val="20"/>
          <w:szCs w:val="20"/>
          <w:color w:val="auto"/>
        </w:rPr>
      </w:pPr>
    </w:p>
    <w:p>
      <w:pPr>
        <w:jc w:val="both"/>
        <w:ind w:firstLine="1291"/>
        <w:spacing w:after="0" w:line="265" w:lineRule="auto"/>
        <w:tabs>
          <w:tab w:leader="none" w:pos="188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contained in Article V are (x) with respect to any representations or warranties that contain a materiality qualifier, true and correct in all respects as of such Borrowing Date, except to the extent any such representation or warranty is stated to relate solely to an earlier date, in which case such representation or warranty shall have been true and correct in all respects on and as of such earlier date and (y) with respect to any representations or warranties that do not contain a materiality qualifier, true and correct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409" w:right="339" w:bottom="1440" w:gutter="0" w:footer="0" w:header="0"/>
        </w:sectPr>
      </w:pPr>
    </w:p>
    <w:bookmarkStart w:id="73" w:name="page74"/>
    <w:bookmarkEnd w:id="73"/>
    <w:p>
      <w:pPr>
        <w:jc w:val="both"/>
        <w:spacing w:after="0" w:line="271" w:lineRule="auto"/>
        <w:rPr>
          <w:sz w:val="20"/>
          <w:szCs w:val="20"/>
          <w:color w:val="auto"/>
        </w:rPr>
      </w:pPr>
      <w:r>
        <w:rPr>
          <w:rFonts w:ascii="Times New Roman" w:cs="Times New Roman" w:eastAsia="Times New Roman" w:hAnsi="Times New Roman"/>
          <w:sz w:val="21"/>
          <w:szCs w:val="21"/>
          <w:color w:val="auto"/>
        </w:rPr>
        <w:t>material respects as of such Borrowing Date, except to the extent any such representation or warranty is stated to relate solely to an earlier date, in which case such representation or warranty shall have been true and correct in all material respects on and as of such earlier date.</w:t>
      </w:r>
    </w:p>
    <w:p>
      <w:pPr>
        <w:spacing w:after="0" w:line="172"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Each Borrowing Notice or Swing Line Borrowing Notice, as the case may be, or request for issuance of a Facility LC with respect to each such Credit Extension shall constitute a representation and warranty by the Borrower that the conditions contained in Sections 4.2(a) and (b) have been satisfied.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6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u w:val="single" w:color="auto"/>
          <w:color w:val="auto"/>
        </w:rPr>
        <w:t>REPRESENTATIONS AND WARRANTIES</w:t>
      </w: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Borrower represents and warrants to the Lenders that:</w:t>
      </w:r>
    </w:p>
    <w:p>
      <w:pPr>
        <w:spacing w:after="0" w:line="227"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Existence and Standing</w:t>
      </w:r>
      <w:r>
        <w:rPr>
          <w:rFonts w:ascii="Times New Roman" w:cs="Times New Roman" w:eastAsia="Times New Roman" w:hAnsi="Times New Roman"/>
          <w:sz w:val="21"/>
          <w:szCs w:val="21"/>
          <w:color w:val="auto"/>
        </w:rPr>
        <w:t>. Each of the Borrower and its Subsidiaries is a corporation, partnership (in the case of Subsidiaries only) or limited liability company duly and properly incorporated or formed, as the case may be, validly existing and (to the extent such concept applies to such entity) in good standing under the Laws of its jurisdiction of incorporation or organization, and has all requisite authority to conduct its business in each jurisdiction in which its business is conducted (other than those jurisdictions as to which the failure to be so qualified or in good standing would not, individually or in the aggregate, reasonably be expected to have a Material Adverse Effect).</w:t>
      </w:r>
    </w:p>
    <w:p>
      <w:pPr>
        <w:spacing w:after="0" w:line="4"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Authorization and Validity</w:t>
      </w:r>
      <w:r>
        <w:rPr>
          <w:rFonts w:ascii="Times New Roman" w:cs="Times New Roman" w:eastAsia="Times New Roman" w:hAnsi="Times New Roman"/>
          <w:sz w:val="21"/>
          <w:szCs w:val="21"/>
          <w:color w:val="auto"/>
        </w:rPr>
        <w:t>. The Borrower has the power and authority and legal right to execute and deliver the Loan Documents to which it is a party and to perform its obligations thereunder. The execution and delivery by the Borrower of the Loan Documents to which it is a party and the performance of its obligations thereunder have been duly authorized by proper corporate proceedings, and the Loan Documents to which the Borrower is a party constitute legal, valid and binding obligations of the Borrower enforceable against the Borrower in accordance with their terms, except as enforceability may be limited by bankruptcy, insolvency or similar laws affecting the enforcement of creditors’ rights generally and general principles of equity (regardless of whether such enforceability is considered in a proceeding in equity or at law).</w:t>
      </w:r>
    </w:p>
    <w:p>
      <w:pPr>
        <w:spacing w:after="0" w:line="3" w:lineRule="exact"/>
        <w:rPr>
          <w:sz w:val="20"/>
          <w:szCs w:val="20"/>
          <w:color w:val="auto"/>
        </w:rPr>
      </w:pPr>
    </w:p>
    <w:p>
      <w:pPr>
        <w:jc w:val="both"/>
        <w:ind w:firstLine="642"/>
        <w:spacing w:after="0" w:line="252"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No Conflict; Government Consent</w:t>
      </w:r>
      <w:r>
        <w:rPr>
          <w:rFonts w:ascii="Times New Roman" w:cs="Times New Roman" w:eastAsia="Times New Roman" w:hAnsi="Times New Roman"/>
          <w:sz w:val="21"/>
          <w:szCs w:val="21"/>
          <w:color w:val="auto"/>
        </w:rPr>
        <w:t>. Neither the execution and delivery by the Borrower of the Loan Documents to which it is a party, nor the consummation of the transactions therein contemplated, nor compliance with the provisions thereof will</w:t>
      </w:r>
    </w:p>
    <w:p>
      <w:pPr>
        <w:spacing w:after="0" w:line="2" w:lineRule="exact"/>
        <w:rPr>
          <w:sz w:val="20"/>
          <w:szCs w:val="20"/>
          <w:color w:val="auto"/>
        </w:rPr>
      </w:pPr>
    </w:p>
    <w:p>
      <w:pPr>
        <w:jc w:val="both"/>
        <w:ind w:firstLine="7"/>
        <w:spacing w:after="0" w:line="259" w:lineRule="auto"/>
        <w:tabs>
          <w:tab w:leader="none" w:pos="26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 any Law or award binding on the Borrower or any of its Subsidiaries that would reasonably be expected to result in a Material Adverse Effect or (ii) violate the Borrower’s or any Subsidiary’s Constituent Documents, or (iii) violate in any material respect the provisions of any Material Indebtedness Agreement to which the Borrower or any of its Subsidiaries is a party or is subject, or by which it, or its Property, is bound, or conflict with or constitute a default thereunder, or result in, or require, the creation or imposition of any Lien in, of or on the Property of the Borrower or a Subsidiary pursuant to the terms of any such Material Indebtedness Agreement. No order, consent, adjudication, approval, license, authorization, or validation of, or filing, recording or registration with, or exemption by, or other action in respect of any governmental or public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409"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21"/>
          <w:szCs w:val="21"/>
          <w:color w:val="auto"/>
        </w:rPr>
        <w:t>or authority, or any subdivision thereof, which has not been obtained by the Borrower or any of its Subsidiaries, is required to be obtained by the Borrower or any of its Subsidiaries in connection with the execution and delivery of the Loan Documents, the borrowings under this Agreement, the payment and performance by the Borrower of the Obligations or the legality, validity, binding effect or enforceability of any of the Loan Documents.</w:t>
      </w:r>
    </w:p>
    <w:p>
      <w:pPr>
        <w:spacing w:after="0" w:line="3" w:lineRule="exact"/>
        <w:rPr>
          <w:sz w:val="20"/>
          <w:szCs w:val="20"/>
          <w:color w:val="auto"/>
        </w:rPr>
      </w:pPr>
    </w:p>
    <w:p>
      <w:pPr>
        <w:jc w:val="both"/>
        <w:ind w:firstLine="642"/>
        <w:spacing w:after="0" w:line="252"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June 30, 2025 audited consolidated financial statements of the Borrower and its Subsidiaries heretofore delivered to the Lenders were prepared in accordance with GAAP in effect on the date such statements were prepared and fairly present in all material respects the consolidated financial condition and operations of the Borrower and its Subsidiaries at such date and the consolidated results of their operations for the period then ended.</w:t>
      </w:r>
    </w:p>
    <w:p>
      <w:pPr>
        <w:spacing w:after="0" w:line="3"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Since June 30, 2025, there has been no change in the business, Property, condition (financial or otherwise) or results of operations of the Borrower and its Subsidiaries, taken as a whole, which could reasonably be expected to have a Material Adverse Effect.</w:t>
      </w:r>
    </w:p>
    <w:p>
      <w:pPr>
        <w:spacing w:after="0" w:line="2"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Borrower and its Subsidiaries have filed all United States federal and state income Tax returns and all other material Tax returns which are required to be filed by them and have paid all United States federal and state income Taxes and all other material Taxes due from the Borrower and its Subsidiaries, including pursuant to any assessment received by the Borrower or any of its Subsidiaries, except such Taxes, if any, as are being contested in good faith and as to which adequate reserves have been provided in accordance with GAAP and as to which no Lien exists (other than Liens permitted under Section 6.16(a)). No Tax Liens have been filed against the Borrower or any of its Subsidiaries and, to the knowledge of the Borrower, no claims are being asserted with respect to any such Taxes against the Borrower or any of its Subsidiaries that would reasonably be expected to result in a Material Adverse Effect. The charges, accruals and reserves on the books of the Borrower and its Subsidiaries in respect of any Taxes or other governmental charges are adequate.</w:t>
      </w:r>
    </w:p>
    <w:p>
      <w:pPr>
        <w:spacing w:after="0" w:line="5"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u w:val="single" w:color="auto"/>
          <w:color w:val="auto"/>
        </w:rPr>
        <w:t>Litigation and Contingent Obligations</w:t>
      </w:r>
      <w:r>
        <w:rPr>
          <w:rFonts w:ascii="Times New Roman" w:cs="Times New Roman" w:eastAsia="Times New Roman" w:hAnsi="Times New Roman"/>
          <w:sz w:val="21"/>
          <w:szCs w:val="21"/>
          <w:color w:val="auto"/>
        </w:rPr>
        <w:t>. There is no litigation, arbitration, governmental investigation, proceeding or inquiry pending or, to the knowledge of any of their officers, threatened against or affecting the Borrower or any of its Subsidiaries which could reasonably be expected to have a Material Adverse Effect or which seeks to prevent, enjoin or delay the making of any Credit Extensions. As of the date of this Agreement, other than any liability incident to any litigation, arbitration or proceeding which could not reasonably be expected to have a Material Adverse Effect, the Borrower has no material Contingent Obligations not provided for or disclosed in the financial statements, including the footnotes thereto, referred to in Section 5.4.</w:t>
      </w:r>
    </w:p>
    <w:p>
      <w:pPr>
        <w:spacing w:after="0" w:line="5"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Schedule 5.8 contains an accurate list of all Subsidiaries of the Borrower as of the date of this Agreement, setting forth their respective jurisdictions of organization and the percentage of their respective Equity Interests owned by the Borrower or other Subsidiaries. All of the issued and outstanding Equity Interests of such Subsidiaries have been (to the extent such concepts are relevant with respect to such ownership interests) duly authorized and issued and are fully paid and non-assessable.</w:t>
      </w:r>
    </w:p>
    <w:p>
      <w:pPr>
        <w:spacing w:after="0" w:line="237"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With respect to each Plan, the Borrower and all ERISA Affiliates have paid all required minimum contributions and installments on or before the due dates provided under Section 430(j) of the Code and could not reasonably be subject to a Lien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409"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21"/>
          <w:szCs w:val="21"/>
          <w:color w:val="auto"/>
        </w:rPr>
        <w:t>430(k) of the Code or Title IV of ERISA. Neither the Borrower nor any ERISA Affiliate has filed, pursuant to Section 412(c) of the Code or Section 302(c) of ERISA, an application for a waiver of the minimum funding standard.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3"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5.10.</w:t>
      </w:r>
      <w:r>
        <w:rPr>
          <w:sz w:val="20"/>
          <w:szCs w:val="20"/>
          <w:color w:val="auto"/>
        </w:rPr>
        <w:tab/>
      </w:r>
      <w:r>
        <w:rPr>
          <w:rFonts w:ascii="Times New Roman" w:cs="Times New Roman" w:eastAsia="Times New Roman" w:hAnsi="Times New Roman"/>
          <w:sz w:val="21"/>
          <w:szCs w:val="21"/>
          <w:u w:val="single" w:color="auto"/>
          <w:color w:val="auto"/>
        </w:rPr>
        <w:t>Accuracy of Information</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jc w:val="both"/>
        <w:ind w:firstLine="1291"/>
        <w:spacing w:after="0" w:line="269" w:lineRule="auto"/>
        <w:tabs>
          <w:tab w:leader="none" w:pos="179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information, exhibit or report furnished by the Borrower or any of its Subsidiaries to the Administrative Agent or to any Lender in connection with the negotiation of, or compliance with, the Loan Documents contained any material misstatement of fact or omitted to state a material fact or any fact necessary to make the statements contained therein, in light of the circumstances under which they were made, not misleading.</w:t>
      </w:r>
    </w:p>
    <w:p>
      <w:pPr>
        <w:spacing w:after="0" w:line="161" w:lineRule="exact"/>
        <w:rPr>
          <w:rFonts w:ascii="Times New Roman" w:cs="Times New Roman" w:eastAsia="Times New Roman" w:hAnsi="Times New Roman"/>
          <w:sz w:val="21"/>
          <w:szCs w:val="21"/>
          <w:color w:val="auto"/>
        </w:rPr>
      </w:pPr>
    </w:p>
    <w:p>
      <w:pPr>
        <w:ind w:right="20" w:firstLine="1291"/>
        <w:spacing w:after="0" w:line="289" w:lineRule="auto"/>
        <w:tabs>
          <w:tab w:leader="none" w:pos="186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Effective Date, the information included in any Beneficial Ownership Certification is true and correct in all respects.</w:t>
      </w:r>
    </w:p>
    <w:p>
      <w:pPr>
        <w:spacing w:after="0" w:line="141"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u w:val="single" w:color="auto"/>
          <w:color w:val="auto"/>
        </w:rPr>
        <w:t>Regulation U</w:t>
      </w:r>
      <w:r>
        <w:rPr>
          <w:rFonts w:ascii="Times New Roman" w:cs="Times New Roman" w:eastAsia="Times New Roman" w:hAnsi="Times New Roman"/>
          <w:sz w:val="21"/>
          <w:szCs w:val="21"/>
          <w:color w:val="auto"/>
        </w:rPr>
        <w:t>. Margin stock (as defined in Regulation U) constitutes less than 25% of the value of those assets of the Borrower and its Subsidiaries which are subject to any limitation on sale, pledge, or other restriction hereunder.</w:t>
      </w:r>
    </w:p>
    <w:p>
      <w:pPr>
        <w:spacing w:after="0" w:line="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5.12. </w:t>
      </w:r>
      <w:r>
        <w:rPr>
          <w:rFonts w:ascii="Times New Roman" w:cs="Times New Roman" w:eastAsia="Times New Roman" w:hAnsi="Times New Roman"/>
          <w:sz w:val="21"/>
          <w:szCs w:val="21"/>
          <w:u w:val="single" w:color="auto"/>
          <w:color w:val="auto"/>
        </w:rPr>
        <w:t>Material Agreements</w:t>
      </w:r>
      <w:r>
        <w:rPr>
          <w:rFonts w:ascii="Times New Roman" w:cs="Times New Roman" w:eastAsia="Times New Roman" w:hAnsi="Times New Roman"/>
          <w:sz w:val="21"/>
          <w:szCs w:val="21"/>
          <w:color w:val="auto"/>
        </w:rPr>
        <w:t>. Neither the Borrower nor any Subsidiary is a party to any agreement or instrument or subject to any charter or other corporate, limited liability company or similar restriction which could reasonably be expected to have a Material Adverse Effect. Neither the Borrower nor any Subsidiary is in default in the performance, observance or fulfillment of any of the material obligations, covenants or conditions contained in (i) any agreement to which it is a party, which default could reasonably be expected to have a Material Adverse Effect or (ii) any Material Indebtedness Agreement.</w:t>
      </w:r>
    </w:p>
    <w:p>
      <w:pPr>
        <w:spacing w:after="0" w:line="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5.13.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Borrower and its Subsidiaries are in compliance with all applicable statutes, rules, regulations, orders and restrictions of any Governmental Authority having jurisdiction over the conduct of their respective businesses or the ownership of their respective Property, except where the failure to be in compliance would not reasonably be expected to have a Material Adverse Effect.</w:t>
      </w:r>
    </w:p>
    <w:p>
      <w:pPr>
        <w:spacing w:after="0" w:line="3"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5.14. </w:t>
      </w:r>
      <w:r>
        <w:rPr>
          <w:rFonts w:ascii="Times New Roman" w:cs="Times New Roman" w:eastAsia="Times New Roman" w:hAnsi="Times New Roman"/>
          <w:sz w:val="21"/>
          <w:szCs w:val="21"/>
          <w:u w:val="single" w:color="auto"/>
          <w:color w:val="auto"/>
        </w:rPr>
        <w:t>Ownership of Properties</w:t>
      </w:r>
      <w:r>
        <w:rPr>
          <w:rFonts w:ascii="Times New Roman" w:cs="Times New Roman" w:eastAsia="Times New Roman" w:hAnsi="Times New Roman"/>
          <w:sz w:val="21"/>
          <w:szCs w:val="21"/>
          <w:color w:val="auto"/>
        </w:rPr>
        <w:t>. Except as set forth in Schedule 5.14, on the date of this Agreement, the Borrower and its Subsidiaries will have good title, free of all Liens other than Permitted Liens, to all of the Property and assets reflected in the Borrower’s most recent consolidated financial statements provided to the Administrative Agent as owned by the Borrower and its Subsidiaries (other than as may have been disposed of in a manner permitted by Section 6.13).</w:t>
      </w:r>
    </w:p>
    <w:p>
      <w:pPr>
        <w:spacing w:after="0" w:line="3"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5.15. </w:t>
      </w:r>
      <w:r>
        <w:rPr>
          <w:rFonts w:ascii="Times New Roman" w:cs="Times New Roman" w:eastAsia="Times New Roman" w:hAnsi="Times New Roman"/>
          <w:sz w:val="21"/>
          <w:szCs w:val="21"/>
          <w:u w:val="single" w:color="auto"/>
          <w:color w:val="auto"/>
        </w:rPr>
        <w:t>Plan Assets; Prohibited Transactions</w:t>
      </w:r>
      <w:r>
        <w:rPr>
          <w:rFonts w:ascii="Times New Roman" w:cs="Times New Roman" w:eastAsia="Times New Roman" w:hAnsi="Times New Roman"/>
          <w:sz w:val="21"/>
          <w:szCs w:val="21"/>
          <w:color w:val="auto"/>
        </w:rPr>
        <w:t>. The Borrower is not an entity deemed to hold “plan assets” within the meaning of 29 C.F.R. § 2510.3-101, as modified by Section 3(42) of ERISA, of an employee benefit plan (as defined in Section 3(3) of ERISA) which is subject to Title I of ERISA or any plan (within the meaning of Section 4975 of the Code) which is subject to Section 4975 of the Code, and neither the execution of this Agreement nor the making of Credit Extensions hereunder gives rise to a prohibited transaction within the meaning of Section 406 of ERISA or Section 4975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409" w:right="339" w:bottom="1440" w:gutter="0" w:footer="0" w:header="0"/>
        </w:sectPr>
      </w:pPr>
    </w:p>
    <w:bookmarkStart w:id="76" w:name="page77"/>
    <w:bookmarkEnd w:id="76"/>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5.16. </w:t>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 In the ordinary course of its business, the officers of the Borrower consider the effect of Environmental Laws on the business of the Borrower and its Subsidiaries, in the course of which they identify and evaluate potential risks and liabilities accruing to the Borrower due to Environmental Laws. On the basis of this consideration, the Borrower has concluded its Property and operations and those of its Subsidiaries are in material compliance with applicable Environmental Laws and that none of Borrower or any of its Subsidiaries is subject to any liability under Environmental Laws that individually or in the aggregate could reasonably be expected to have a Material Adverse Effect. Neither the Borrower nor any Subsidiary has received any notice to the effect that its Property and/or operations are not in material compliance with any of the requirements of applicable Environmental Laws or are the subject of any federal or state investigation evaluating whether any remedial action is needed to respond to a release of any Hazardous Material, which non-compliance or remedial action could reasonably be expected to have a Material Adverse Effect.</w:t>
      </w:r>
    </w:p>
    <w:p>
      <w:pPr>
        <w:spacing w:after="0" w:line="176" w:lineRule="exact"/>
        <w:rPr>
          <w:sz w:val="20"/>
          <w:szCs w:val="20"/>
          <w:color w:val="auto"/>
        </w:rPr>
      </w:pPr>
    </w:p>
    <w:p>
      <w:pPr>
        <w:jc w:val="both"/>
        <w:ind w:right="20" w:firstLine="642"/>
        <w:spacing w:after="0" w:line="289" w:lineRule="auto"/>
        <w:rPr>
          <w:sz w:val="20"/>
          <w:szCs w:val="20"/>
          <w:color w:val="auto"/>
        </w:rPr>
      </w:pPr>
      <w:r>
        <w:rPr>
          <w:rFonts w:ascii="Times New Roman" w:cs="Times New Roman" w:eastAsia="Times New Roman" w:hAnsi="Times New Roman"/>
          <w:sz w:val="21"/>
          <w:szCs w:val="21"/>
          <w:color w:val="auto"/>
        </w:rPr>
        <w:t xml:space="preserve">5.17. </w:t>
      </w:r>
      <w:r>
        <w:rPr>
          <w:rFonts w:ascii="Times New Roman" w:cs="Times New Roman" w:eastAsia="Times New Roman" w:hAnsi="Times New Roman"/>
          <w:sz w:val="21"/>
          <w:szCs w:val="21"/>
          <w:u w:val="single" w:color="auto"/>
          <w:color w:val="auto"/>
        </w:rPr>
        <w:t>Investment Company Act</w:t>
      </w:r>
      <w:r>
        <w:rPr>
          <w:rFonts w:ascii="Times New Roman" w:cs="Times New Roman" w:eastAsia="Times New Roman" w:hAnsi="Times New Roman"/>
          <w:sz w:val="21"/>
          <w:szCs w:val="21"/>
          <w:color w:val="auto"/>
        </w:rPr>
        <w:t>. Neither the Borrower nor any Subsidiary is an “investment company” or a company “controlled” by an “investment company”, within the meaning of the Investment Company Act of 1940.</w:t>
      </w:r>
    </w:p>
    <w:p>
      <w:pPr>
        <w:spacing w:after="0" w:line="141" w:lineRule="exact"/>
        <w:rPr>
          <w:sz w:val="20"/>
          <w:szCs w:val="20"/>
          <w:color w:val="auto"/>
        </w:rPr>
      </w:pPr>
    </w:p>
    <w:p>
      <w:pPr>
        <w:jc w:val="both"/>
        <w:ind w:firstLine="642"/>
        <w:spacing w:after="0" w:line="272" w:lineRule="auto"/>
        <w:rPr>
          <w:sz w:val="20"/>
          <w:szCs w:val="20"/>
          <w:color w:val="auto"/>
        </w:rPr>
      </w:pPr>
      <w:r>
        <w:rPr>
          <w:rFonts w:ascii="Times New Roman" w:cs="Times New Roman" w:eastAsia="Times New Roman" w:hAnsi="Times New Roman"/>
          <w:sz w:val="21"/>
          <w:szCs w:val="21"/>
          <w:color w:val="auto"/>
        </w:rPr>
        <w:t xml:space="preserve">5.18.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Borrower maintains, and has caused each Subsidiary to maintain, with financially sound and reputable insurance companies insurance on all their Property, liability insurance and environmental insurance in such amounts, subject to such deductibles and self-insurance retentions and covering such Properties and risks as is consistent with sound business practice.</w:t>
      </w:r>
    </w:p>
    <w:p>
      <w:pPr>
        <w:spacing w:after="0" w:line="200" w:lineRule="exact"/>
        <w:rPr>
          <w:sz w:val="20"/>
          <w:szCs w:val="20"/>
          <w:color w:val="auto"/>
        </w:rPr>
      </w:pPr>
    </w:p>
    <w:p>
      <w:pPr>
        <w:spacing w:after="0" w:line="223"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5.19.</w:t>
      </w:r>
      <w:r>
        <w:rPr>
          <w:sz w:val="20"/>
          <w:szCs w:val="20"/>
          <w:color w:val="auto"/>
        </w:rPr>
        <w:tab/>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ind w:firstLine="1291"/>
        <w:spacing w:after="0" w:line="258" w:lineRule="auto"/>
        <w:tabs>
          <w:tab w:leader="none" w:pos="186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the consummation of the transactions to occur on the Effective Date and immediately following the making of each Credit Extension, if any, made on the Effective Date and after giving effect to the application of the proceeds of such Credit Extensions, (a) the fair value of the assets of the Borrower and its Subsidiaries on a consolidated basis, at a fair valuation, will exceed the debts and liabilities, subordinated, contingent or otherwise, of the Borrower and its Subsidiaries on a consolidated basis; (b) the present fair saleable value of the Property of the Borrower and its Subsidiaries on a consolidated basis will be greater than the amount that will be required to pay the probable liability of the Borrower and its Subsidiaries on a consolidated basis on their debts and other liabilities, subordinated, contingent or otherwise, as such debts and other liabilities become absolute and matured; (c) the Borrower and its Subsidiaries on a consolidated basis will be able to pay their debts and liabilities, subordinated, contingent or otherwise, as such debts and liabilities become absolute and matured; and (d) the Borrower and its Subsidiaries on a consolidated basis will not have unreasonably small capital with which to conduct the businesses in which they are engaged as such businesses are now conducted and are proposed to be conducted after the Effective Date.</w:t>
      </w:r>
    </w:p>
    <w:p>
      <w:pPr>
        <w:spacing w:after="0" w:line="180" w:lineRule="exact"/>
        <w:rPr>
          <w:rFonts w:ascii="Times New Roman" w:cs="Times New Roman" w:eastAsia="Times New Roman" w:hAnsi="Times New Roman"/>
          <w:sz w:val="21"/>
          <w:szCs w:val="21"/>
          <w:color w:val="auto"/>
        </w:rPr>
      </w:pPr>
    </w:p>
    <w:p>
      <w:pPr>
        <w:jc w:val="both"/>
        <w:ind w:firstLine="1291"/>
        <w:spacing w:after="0" w:line="277" w:lineRule="auto"/>
        <w:tabs>
          <w:tab w:leader="none" w:pos="177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does not intend to, or to permit any of its Subsidiaries to, and does not believe that it or any of its Subsidiaries will, incur debts beyond its ability to pay such debts as they mature, taking into account the timing of and amounts of cash to be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409" w:right="339" w:bottom="1440" w:gutter="0" w:footer="0" w:header="0"/>
        </w:sectPr>
      </w:pPr>
    </w:p>
    <w:bookmarkStart w:id="77" w:name="page78"/>
    <w:bookmarkEnd w:id="77"/>
    <w:p>
      <w:pPr>
        <w:jc w:val="both"/>
        <w:spacing w:after="0" w:line="289" w:lineRule="auto"/>
        <w:rPr>
          <w:sz w:val="20"/>
          <w:szCs w:val="20"/>
          <w:color w:val="auto"/>
        </w:rPr>
      </w:pPr>
      <w:r>
        <w:rPr>
          <w:rFonts w:ascii="Times New Roman" w:cs="Times New Roman" w:eastAsia="Times New Roman" w:hAnsi="Times New Roman"/>
          <w:sz w:val="21"/>
          <w:szCs w:val="21"/>
          <w:color w:val="auto"/>
        </w:rPr>
        <w:t>by it or any such Subsidiary and the timing of the amounts of cash to be payable on or in respect of its Indebtedness or the Indebtedness of any such Subsidiary.</w:t>
      </w:r>
    </w:p>
    <w:p>
      <w:pPr>
        <w:spacing w:after="0" w:line="14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5.20.</w:t>
      </w:r>
      <w:r>
        <w:rPr>
          <w:sz w:val="20"/>
          <w:szCs w:val="20"/>
          <w:color w:val="auto"/>
        </w:rPr>
        <w:tab/>
      </w:r>
      <w:r>
        <w:rPr>
          <w:rFonts w:ascii="Times New Roman" w:cs="Times New Roman" w:eastAsia="Times New Roman" w:hAnsi="Times New Roman"/>
          <w:sz w:val="21"/>
          <w:szCs w:val="21"/>
          <w:u w:val="single" w:color="auto"/>
          <w:color w:val="auto"/>
        </w:rPr>
        <w:t>No Default</w:t>
      </w:r>
      <w:r>
        <w:rPr>
          <w:rFonts w:ascii="Times New Roman" w:cs="Times New Roman" w:eastAsia="Times New Roman" w:hAnsi="Times New Roman"/>
          <w:sz w:val="21"/>
          <w:szCs w:val="21"/>
          <w:color w:val="auto"/>
        </w:rPr>
        <w:t>. No Default or Event of Default has occurred and is continuing.</w:t>
      </w:r>
    </w:p>
    <w:p>
      <w:pPr>
        <w:spacing w:after="0" w:line="240"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5.21. </w:t>
      </w:r>
      <w:r>
        <w:rPr>
          <w:rFonts w:ascii="Times New Roman" w:cs="Times New Roman" w:eastAsia="Times New Roman" w:hAnsi="Times New Roman"/>
          <w:sz w:val="21"/>
          <w:szCs w:val="21"/>
          <w:u w:val="single" w:color="auto"/>
          <w:color w:val="auto"/>
        </w:rPr>
        <w:t>Anti-Corruption Laws; Sanctions</w:t>
      </w:r>
      <w:r>
        <w:rPr>
          <w:rFonts w:ascii="Times New Roman" w:cs="Times New Roman" w:eastAsia="Times New Roman" w:hAnsi="Times New Roman"/>
          <w:sz w:val="21"/>
          <w:szCs w:val="21"/>
          <w:color w:val="auto"/>
        </w:rPr>
        <w:t>. The Borrower, its Subsidiaries and, to the knowledge of the Borrower, their respective officers, employees, its directors and agents, are in compliance with Anti-Corruption Laws and applicable Sanctions in all material respects. The Borrower has implemented and maintains in effect for itself and its Subsidiaries policies and procedures reasonably designed to promote and achieve compliance by the Borrower, its Subsidiaries, and their respective officers, employees, directors, and agents with Anti-Corruption Laws and applicable Sanctions. None of the Borrower, any of its Subsidiaries or, to the knowledge of the Borrower, any director, officer, employee, agent, or affiliate of the Borrower or any of its Subsidiaries is an individual or entity that is, or is 50% or more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(as of the Effective Date, the so-called Donetsk People’s Republic, the so-called Luhansk People’s Republic, the Kherson region of Ukraine, the Zaporizhzhia region of Ukraine, the Crimea region of Ukraine, Cuba, Iran, North Korea, and Syria) (each, a “Sanctioned Person”).</w:t>
      </w:r>
    </w:p>
    <w:p>
      <w:pPr>
        <w:spacing w:after="0" w:line="17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5.22.</w:t>
      </w:r>
      <w:r>
        <w:rPr>
          <w:sz w:val="20"/>
          <w:szCs w:val="20"/>
          <w:color w:val="auto"/>
        </w:rPr>
        <w:tab/>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No Loan Party is an Affected Financial Institution.</w:t>
      </w:r>
    </w:p>
    <w:p>
      <w:pPr>
        <w:spacing w:after="0" w:line="227"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5.23. </w:t>
      </w:r>
      <w:r>
        <w:rPr>
          <w:rFonts w:ascii="Times New Roman" w:cs="Times New Roman" w:eastAsia="Times New Roman" w:hAnsi="Times New Roman"/>
          <w:sz w:val="21"/>
          <w:szCs w:val="21"/>
          <w:u w:val="single" w:color="auto"/>
          <w:color w:val="auto"/>
        </w:rPr>
        <w:t>Outbound Investment Rules</w:t>
      </w:r>
      <w:r>
        <w:rPr>
          <w:rFonts w:ascii="Times New Roman" w:cs="Times New Roman" w:eastAsia="Times New Roman" w:hAnsi="Times New Roman"/>
          <w:sz w:val="21"/>
          <w:szCs w:val="21"/>
          <w:color w:val="auto"/>
        </w:rPr>
        <w:t>.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any Lender or the LC Issuer to be in violation of the Outbound Investment Rules or cause the Administrative Agent, any Lender or the LC Issuer to be legally prohibited by the Outbound Investment Rules from performing under this Agreement. As used in this Section 5.23, “U.S. Person” means any United States citizen, lawful permanent resident, entity organized under the laws of the United States or any jurisdiction within the United States, including any foreign branch of any such entity, or any person in the United States.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6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b w:val="1"/>
          <w:bCs w:val="1"/>
          <w:u w:val="single" w:color="auto"/>
          <w:color w:val="auto"/>
        </w:rPr>
        <w:t>COVENANTS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During the term of this Agreement, unless the Required Lenders shall otherwise consent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409" w:right="339" w:bottom="1440" w:gutter="0" w:footer="0" w:header="0"/>
        </w:sectPr>
      </w:pPr>
    </w:p>
    <w:bookmarkStart w:id="78" w:name="page79"/>
    <w:bookmarkEnd w:id="78"/>
    <w:p>
      <w:pPr>
        <w:ind w:firstLine="642"/>
        <w:spacing w:after="0" w:line="264"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Financial Reporting</w:t>
      </w:r>
      <w:r>
        <w:rPr>
          <w:rFonts w:ascii="Times New Roman" w:cs="Times New Roman" w:eastAsia="Times New Roman" w:hAnsi="Times New Roman"/>
          <w:sz w:val="21"/>
          <w:szCs w:val="21"/>
          <w:color w:val="auto"/>
        </w:rPr>
        <w:t>. The Borrower will maintain, for itself and each Subsidiary, a system of accounting established and administered in accordance with GAAP, and furnish to the Administrative Agent and the Lenders:</w:t>
      </w:r>
    </w:p>
    <w:p>
      <w:pPr>
        <w:spacing w:after="0" w:line="1" w:lineRule="exact"/>
        <w:rPr>
          <w:sz w:val="20"/>
          <w:szCs w:val="20"/>
          <w:color w:val="auto"/>
        </w:rPr>
      </w:pPr>
    </w:p>
    <w:p>
      <w:pPr>
        <w:jc w:val="both"/>
        <w:ind w:firstLine="1291"/>
        <w:spacing w:after="0" w:line="259" w:lineRule="auto"/>
        <w:tabs>
          <w:tab w:leader="none" w:pos="178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90 days after the close of each of its fiscal years, an unqualified (except for qualifications relating to changes in accounting principles or practices reflecting changes in GAAP) audit report, with no going concern modifier, certified by independent certified public accountants acceptable to the Lenders, prepared in accordance with GAAP on a consolidated basis for itself and its Subsidiaries, including a balance sheet as of the end of such period, related consolidated statements of income, cash flows and changes in stockholders equity, accompanied by any management letter prepared by said accountants.</w:t>
      </w:r>
    </w:p>
    <w:p>
      <w:pPr>
        <w:spacing w:after="0" w:line="170" w:lineRule="exact"/>
        <w:rPr>
          <w:rFonts w:ascii="Times New Roman" w:cs="Times New Roman" w:eastAsia="Times New Roman" w:hAnsi="Times New Roman"/>
          <w:sz w:val="21"/>
          <w:szCs w:val="21"/>
          <w:color w:val="auto"/>
        </w:rPr>
      </w:pPr>
    </w:p>
    <w:p>
      <w:pPr>
        <w:jc w:val="both"/>
        <w:ind w:firstLine="1291"/>
        <w:spacing w:after="0" w:line="269" w:lineRule="auto"/>
        <w:tabs>
          <w:tab w:leader="none" w:pos="175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45 days after the close of the first three (3) quarterly periods of each of its fiscal years, for itself and its Subsidiaries, a consolidated unaudited balance sheet as at the close of each such period and related consolidated statements of income, cash flows and changes in stockholders equity for the period from the beginning of such fiscal year to the end of such quarter, all certified by its chief financial officer.</w:t>
      </w:r>
    </w:p>
    <w:p>
      <w:pPr>
        <w:spacing w:after="0" w:line="161" w:lineRule="exact"/>
        <w:rPr>
          <w:rFonts w:ascii="Times New Roman" w:cs="Times New Roman" w:eastAsia="Times New Roman" w:hAnsi="Times New Roman"/>
          <w:sz w:val="21"/>
          <w:szCs w:val="21"/>
          <w:color w:val="auto"/>
        </w:rPr>
      </w:pPr>
    </w:p>
    <w:p>
      <w:pPr>
        <w:jc w:val="both"/>
        <w:ind w:firstLine="1291"/>
        <w:spacing w:after="0" w:line="271" w:lineRule="auto"/>
        <w:tabs>
          <w:tab w:leader="none" w:pos="176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within forty-five days (45) days after the beginning of each fiscal year of the Borrower, a copy of the plan and forecast (including a projected consolidated balance sheet, income statement and cash flow statement) of the Borrower for such fiscal year.</w:t>
      </w:r>
    </w:p>
    <w:p>
      <w:pPr>
        <w:spacing w:after="0" w:line="171" w:lineRule="exact"/>
        <w:rPr>
          <w:rFonts w:ascii="Times New Roman" w:cs="Times New Roman" w:eastAsia="Times New Roman" w:hAnsi="Times New Roman"/>
          <w:sz w:val="21"/>
          <w:szCs w:val="21"/>
          <w:color w:val="auto"/>
        </w:rPr>
      </w:pPr>
    </w:p>
    <w:p>
      <w:pPr>
        <w:jc w:val="both"/>
        <w:ind w:firstLine="1291"/>
        <w:spacing w:after="0" w:line="271" w:lineRule="auto"/>
        <w:tabs>
          <w:tab w:leader="none" w:pos="175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Together with the financial statements required under Sections 6.1(a) and (b), a Compliance Certificate signed by its chief financial officer showing the calculations necessary to determine compliance with this Agreement and stating that no Default or Event of Default exists, or if any Default or Event of Default exists, stating the nature and status thereof.</w:t>
      </w:r>
    </w:p>
    <w:p>
      <w:pPr>
        <w:spacing w:after="0" w:line="158" w:lineRule="exact"/>
        <w:rPr>
          <w:rFonts w:ascii="Times New Roman" w:cs="Times New Roman" w:eastAsia="Times New Roman" w:hAnsi="Times New Roman"/>
          <w:sz w:val="21"/>
          <w:szCs w:val="21"/>
          <w:color w:val="auto"/>
        </w:rPr>
      </w:pPr>
    </w:p>
    <w:p>
      <w:pPr>
        <w:ind w:right="20" w:firstLine="1291"/>
        <w:spacing w:after="0" w:line="289" w:lineRule="auto"/>
        <w:tabs>
          <w:tab w:leader="none" w:pos="178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the furnishing thereof to the shareholders of the Borrower, copies of all financial statements, reports and proxy statements so furnished.</w:t>
      </w:r>
    </w:p>
    <w:p>
      <w:pPr>
        <w:spacing w:after="0" w:line="153" w:lineRule="exact"/>
        <w:rPr>
          <w:rFonts w:ascii="Times New Roman" w:cs="Times New Roman" w:eastAsia="Times New Roman" w:hAnsi="Times New Roman"/>
          <w:sz w:val="21"/>
          <w:szCs w:val="21"/>
          <w:color w:val="auto"/>
        </w:rPr>
      </w:pPr>
    </w:p>
    <w:p>
      <w:pPr>
        <w:ind w:firstLine="1291"/>
        <w:spacing w:after="0" w:line="289" w:lineRule="auto"/>
        <w:tabs>
          <w:tab w:leader="none" w:pos="175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the filing thereof, copies of all registration statements and annual, quarterly, monthly or other regular reports which the Borrower or any of its Subsidiaries files with the U.S. Securities and Exchange Commission.</w:t>
      </w:r>
    </w:p>
    <w:p>
      <w:pPr>
        <w:spacing w:after="0" w:line="140" w:lineRule="exact"/>
        <w:rPr>
          <w:rFonts w:ascii="Times New Roman" w:cs="Times New Roman" w:eastAsia="Times New Roman" w:hAnsi="Times New Roman"/>
          <w:sz w:val="21"/>
          <w:szCs w:val="21"/>
          <w:color w:val="auto"/>
        </w:rPr>
      </w:pPr>
    </w:p>
    <w:p>
      <w:pPr>
        <w:jc w:val="both"/>
        <w:ind w:firstLine="1291"/>
        <w:spacing w:after="0" w:line="269" w:lineRule="auto"/>
        <w:tabs>
          <w:tab w:leader="none" w:pos="176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information (including non-financial information and environmental reports) as the Administrative Agent or any Lender may from time to time reasonably request, including information and documentation reasonably requested by the Administrative agent or any Lender for purposes of compliance with applicable “know your customer” requirements under the PATRIOT Act or other applicable anti-money laundering laws.</w:t>
      </w:r>
    </w:p>
    <w:p>
      <w:pPr>
        <w:spacing w:after="0" w:line="161" w:lineRule="exact"/>
        <w:rPr>
          <w:rFonts w:ascii="Times New Roman" w:cs="Times New Roman" w:eastAsia="Times New Roman" w:hAnsi="Times New Roman"/>
          <w:sz w:val="21"/>
          <w:szCs w:val="21"/>
          <w:color w:val="auto"/>
        </w:rPr>
      </w:pPr>
    </w:p>
    <w:p>
      <w:pPr>
        <w:jc w:val="both"/>
        <w:ind w:firstLine="1291"/>
        <w:spacing w:after="0" w:line="264" w:lineRule="auto"/>
        <w:tabs>
          <w:tab w:leader="none" w:pos="185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financial statement or other information required to be furnished pursuant to Section 6.1(a), Section 6.1(b), Section 6.1(e) or Section 6.1(f) shall be deemed to have been furnished on the date on which the Lenders receive notice that the Borrower has filed such financial statement or other information with the U.S. Securities and Exchange Commission and is available on the EDGAR website on the Internet at www.sec.gov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409" w:right="339" w:bottom="1440" w:gutter="0" w:footer="0" w:header="0"/>
        </w:sectPr>
      </w:pPr>
    </w:p>
    <w:bookmarkStart w:id="79" w:name="page80"/>
    <w:bookmarkEnd w:id="79"/>
    <w:p>
      <w:pPr>
        <w:jc w:val="both"/>
        <w:spacing w:after="0" w:line="265" w:lineRule="auto"/>
        <w:rPr>
          <w:sz w:val="20"/>
          <w:szCs w:val="20"/>
          <w:color w:val="auto"/>
        </w:rPr>
      </w:pPr>
      <w:r>
        <w:rPr>
          <w:rFonts w:ascii="Times New Roman" w:cs="Times New Roman" w:eastAsia="Times New Roman" w:hAnsi="Times New Roman"/>
          <w:sz w:val="21"/>
          <w:szCs w:val="21"/>
          <w:color w:val="auto"/>
        </w:rPr>
        <w:t>government website that is freely and readily available to the Administrative Agent and the Lenders without charge; provided that the Borrower shall give notice of any such filing to the Administrative Agent (who shall then give notice of any such filing to the Lenders). Notwithstanding the foregoing, the Borrower shall deliver paper or electronic copies of any such financial statement or other information to the Administrative Agent if the Administrative Agent requests the Borrower to furnish such paper or electronic copies until written notice to cease delivering such paper or electronic copies is given by the Administrative Agent.</w:t>
      </w:r>
    </w:p>
    <w:p>
      <w:pPr>
        <w:spacing w:after="0" w:line="165"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The Borrower will, and will cause each Subsidiary to, use the proceeds of the Credit Extensions for general corporate purposes, to repurchase the Borrower’s Equity Interests, Capital Expenditures, and to refinance Indebtedness existing on the Effective Date. The Borrower will not, nor will it permit any Subsidiary to, use any of the proceeds of the Advances to purchase or carry any “margin stock” (as defined in Regulation U) other than the repurchase of Excluded Margin Stock in compliance with Regulation U and other applicable Laws. The Borrower will not request any Loan or Facility LC, and will not use, and the Borrower will ensure that its Subsidiaries and its or their respective directors, officers, employees and agents shall not use, the proceeds of any Loan or Facility LC in furtherance of an offer, payment, promise to pay, or authorization of the payment or giving of money, or anything else of value, to any Person in violation of any Anti-Corruption Laws. The Borrower will not, directly or indirectly, use the proceeds of the Loans or any Facility LC, or lend, contribute or otherwise make available such proceeds to any subsidiary, joint venture partner or other Person, (i) to fund any activities or business of, with or for the benefit of any Person, or in any country or territory, that, at the time of such funding, is, or whose government is, the subject of Sanctions, except to the extent permissible for a Person organized under the Laws of the United States of America or a political subdivision thereof, or otherwise constituting a citizen thereof, or (ii) in any other manner that would result in a violation of Sanctions by any Person (including any Person participating in the Loans, whether as underwriter, advisor, investor, or otherwise).</w:t>
      </w:r>
    </w:p>
    <w:p>
      <w:pPr>
        <w:spacing w:after="0" w:line="3"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Notice of Material Events</w:t>
      </w:r>
      <w:r>
        <w:rPr>
          <w:rFonts w:ascii="Times New Roman" w:cs="Times New Roman" w:eastAsia="Times New Roman" w:hAnsi="Times New Roman"/>
          <w:sz w:val="21"/>
          <w:szCs w:val="21"/>
          <w:color w:val="auto"/>
        </w:rPr>
        <w:t>. The Borrower will, and will cause each Subsidiary to, give notice in writing to the Administrative Agent and each Lender, promptly and in any event within two (2) Business Days after an officer of the Borrower obtains knowledge thereof, of the occurrence of any of the following:</w:t>
      </w:r>
    </w:p>
    <w:p>
      <w:pPr>
        <w:spacing w:after="0" w:line="2" w:lineRule="exact"/>
        <w:rPr>
          <w:sz w:val="20"/>
          <w:szCs w:val="20"/>
          <w:color w:val="auto"/>
        </w:rPr>
      </w:pPr>
    </w:p>
    <w:p>
      <w:pPr>
        <w:ind w:left="1740" w:hanging="449"/>
        <w:spacing w:after="0"/>
        <w:tabs>
          <w:tab w:leader="none" w:pos="17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Default or Event of Default;</w:t>
      </w:r>
    </w:p>
    <w:p>
      <w:pPr>
        <w:spacing w:after="0" w:line="202" w:lineRule="exact"/>
        <w:rPr>
          <w:rFonts w:ascii="Times New Roman" w:cs="Times New Roman" w:eastAsia="Times New Roman" w:hAnsi="Times New Roman"/>
          <w:sz w:val="21"/>
          <w:szCs w:val="21"/>
          <w:color w:val="auto"/>
        </w:rPr>
      </w:pPr>
    </w:p>
    <w:p>
      <w:pPr>
        <w:jc w:val="both"/>
        <w:ind w:firstLine="1291"/>
        <w:spacing w:after="0" w:line="269" w:lineRule="auto"/>
        <w:tabs>
          <w:tab w:leader="none" w:pos="183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or commencement of any action, suit or proceeding by or before any arbitrator or Governmental Authority (including pursuant to any applicable Environmental Laws) against or affecting the Borrower or any Affiliate thereof that, if adversely determined, would reasonably be expected to result in a Material Adverse Effect or which seeks to prevent, enjoin or delay the making of any Credit Extensions;</w:t>
      </w:r>
    </w:p>
    <w:p>
      <w:pPr>
        <w:spacing w:after="0" w:line="161" w:lineRule="exact"/>
        <w:rPr>
          <w:rFonts w:ascii="Times New Roman" w:cs="Times New Roman" w:eastAsia="Times New Roman" w:hAnsi="Times New Roman"/>
          <w:sz w:val="21"/>
          <w:szCs w:val="21"/>
          <w:color w:val="auto"/>
        </w:rPr>
      </w:pPr>
    </w:p>
    <w:p>
      <w:pPr>
        <w:ind w:left="1740" w:hanging="449"/>
        <w:spacing w:after="0"/>
        <w:tabs>
          <w:tab w:leader="none" w:pos="17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26" w:lineRule="exact"/>
        <w:rPr>
          <w:rFonts w:ascii="Times New Roman" w:cs="Times New Roman" w:eastAsia="Times New Roman" w:hAnsi="Times New Roman"/>
          <w:sz w:val="21"/>
          <w:szCs w:val="21"/>
          <w:color w:val="auto"/>
        </w:rPr>
      </w:pPr>
    </w:p>
    <w:p>
      <w:pPr>
        <w:ind w:right="20" w:firstLine="1291"/>
        <w:spacing w:after="0" w:line="289" w:lineRule="auto"/>
        <w:tabs>
          <w:tab w:leader="none" w:pos="178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ERISA Event that, alone or together with any other ERISA Events that have occurred,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409" w:right="339" w:bottom="1440" w:gutter="0" w:footer="0" w:header="0"/>
        </w:sectPr>
      </w:pPr>
    </w:p>
    <w:bookmarkStart w:id="80" w:name="page81"/>
    <w:bookmarkEnd w:id="80"/>
    <w:p>
      <w:pPr>
        <w:ind w:right="20" w:firstLine="1291"/>
        <w:spacing w:after="0" w:line="289" w:lineRule="auto"/>
        <w:tabs>
          <w:tab w:leader="none" w:pos="186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the information provided in any Beneficial Ownership Certification that would result in a change to the list of beneficial owners identified in parts (c) or (d) of such certification; and</w:t>
      </w:r>
    </w:p>
    <w:p>
      <w:pPr>
        <w:spacing w:after="0" w:line="140" w:lineRule="exact"/>
        <w:rPr>
          <w:rFonts w:ascii="Times New Roman" w:cs="Times New Roman" w:eastAsia="Times New Roman" w:hAnsi="Times New Roman"/>
          <w:sz w:val="21"/>
          <w:szCs w:val="21"/>
          <w:color w:val="auto"/>
        </w:rPr>
      </w:pPr>
    </w:p>
    <w:p>
      <w:pPr>
        <w:ind w:left="1880" w:hanging="589"/>
        <w:spacing w:after="0"/>
        <w:tabs>
          <w:tab w:leader="none" w:pos="18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development, financial or otherwise, which would reasonably be expected to have a Material</w:t>
      </w:r>
    </w:p>
    <w:p>
      <w:pPr>
        <w:spacing w:after="0" w:line="3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Adverse Effect.</w:t>
      </w:r>
    </w:p>
    <w:p>
      <w:pPr>
        <w:spacing w:after="0" w:line="215"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Each notice delivered under this Section 6.3 shall be accompanied by a statement of an officer of the Borrower setting forth the details of the event or development requiring such notice and any action taken or proposed to be taken with respect thereto.</w:t>
      </w:r>
    </w:p>
    <w:p>
      <w:pPr>
        <w:spacing w:after="0" w:line="141"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Conduct of Business</w:t>
      </w:r>
      <w:r>
        <w:rPr>
          <w:rFonts w:ascii="Times New Roman" w:cs="Times New Roman" w:eastAsia="Times New Roman" w:hAnsi="Times New Roman"/>
          <w:sz w:val="21"/>
          <w:szCs w:val="21"/>
          <w:color w:val="auto"/>
        </w:rPr>
        <w:t>. The Borrower will, and will cause each Subsidiary to, carry on and conduct its business in substantially the same manner and in substantially the same fields of enterprise as it is presently conducted and any other fields of enterprise that are similar or reasonably related, incidental, ancillary or complementary to, or a reasonable extension, development or expansion of, any of the fields of enterprise in which the Borrower and its Subsidiaries are engaged as of the date of this Agreement, except to the extent as would not be material to the Borrower and its Subsidiaries taken as a whole, and do all things necessary to remain duly incorporated or organized, validly existing and (to the extent such concept applies to such entity) in good standing as a domestic corporation, partnership or limited liability company in its jurisdiction of incorporation or organization, as the case may be, and maintain all requisite authority to conduct its business in each jurisdiction in which its business is conducted, unless, in the good faith judgment of the Borrower, the termination of or failure to preserve and keep in full force and effect such corporate existence, right or franchise is in connection with a transaction permitted under Section 6.12 or 6.13 or otherwise would not, individually or in the aggregate, reasonably be expected to have a Material Adverse Effect.</w:t>
      </w:r>
    </w:p>
    <w:p>
      <w:pPr>
        <w:spacing w:after="0" w:line="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Borrower will, and will cause each Subsidiary to, timely file complete and correct United States federal and applicable foreign, state and local tax returns required by Law and pay when due all taxes, assessments and governmental charges and levies upon it or its income, profits or Property, except those which are being contested in good faith by appropriate proceedings, with respect to which adequate reserves have been set aside in accordance with GAAP and which could not reasonably be expected, individually or in the aggregate, to have a Material Adverse Effect.</w:t>
      </w:r>
    </w:p>
    <w:p>
      <w:pPr>
        <w:spacing w:after="0" w:line="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Borrower will, and will cause each Subsidiary to, maintain with financially sound and reputable insurance companies insurance on all their Property, liability insurance and environmental insurance in such amounts, subject to such deductibles and self-insurance retentions and covering such Properties and risks as is consistent with sound business practice, and the Borrower will furnish to any Lender upon request full information as to the insurance carried.</w:t>
      </w:r>
    </w:p>
    <w:p>
      <w:pPr>
        <w:spacing w:after="0" w:line="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1"/>
          <w:szCs w:val="21"/>
          <w:color w:val="auto"/>
        </w:rPr>
        <w:t>6.7.</w:t>
      </w:r>
      <w:r>
        <w:rPr>
          <w:sz w:val="20"/>
          <w:szCs w:val="20"/>
          <w:color w:val="auto"/>
        </w:rPr>
        <w:tab/>
      </w:r>
      <w:r>
        <w:rPr>
          <w:rFonts w:ascii="Times New Roman" w:cs="Times New Roman" w:eastAsia="Times New Roman" w:hAnsi="Times New Roman"/>
          <w:sz w:val="21"/>
          <w:szCs w:val="21"/>
          <w:u w:val="single" w:color="auto"/>
          <w:color w:val="auto"/>
        </w:rPr>
        <w:t>Compliance with Laws and Material Contractual Obligations</w:t>
      </w:r>
      <w:r>
        <w:rPr>
          <w:rFonts w:ascii="Times New Roman" w:cs="Times New Roman" w:eastAsia="Times New Roman" w:hAnsi="Times New Roman"/>
          <w:sz w:val="21"/>
          <w:szCs w:val="21"/>
          <w:color w:val="auto"/>
        </w:rPr>
        <w:t>. The Borrower will, and will cause each Subsidiary to,</w:t>
      </w:r>
    </w:p>
    <w:p>
      <w:pPr>
        <w:spacing w:after="0" w:line="13" w:lineRule="exact"/>
        <w:rPr>
          <w:sz w:val="20"/>
          <w:szCs w:val="20"/>
          <w:color w:val="auto"/>
        </w:rPr>
      </w:pPr>
    </w:p>
    <w:p>
      <w:pPr>
        <w:jc w:val="both"/>
        <w:ind w:firstLine="7"/>
        <w:spacing w:after="0" w:line="261" w:lineRule="auto"/>
        <w:tabs>
          <w:tab w:leader="none" w:pos="28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with all Laws or awards to which it may be subject including all Environmental Laws, and Anti-Corruption Laws, except where the failure to be in compliance would not reasonably be expected to have a Material Adverse Effect, (ii) comply in all material respects with applicable Sanctions and (iii) perform in all material respects its obligations under (x) each agreement to which it is a party, except for any default that could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409" w:right="339" w:bottom="1440" w:gutter="0" w:footer="0" w:header="0"/>
        </w:sectPr>
      </w:pPr>
    </w:p>
    <w:bookmarkStart w:id="81" w:name="page82"/>
    <w:bookmarkEnd w:id="81"/>
    <w:p>
      <w:pPr>
        <w:jc w:val="both"/>
        <w:spacing w:after="0" w:line="260" w:lineRule="auto"/>
        <w:rPr>
          <w:sz w:val="20"/>
          <w:szCs w:val="20"/>
          <w:color w:val="auto"/>
        </w:rPr>
      </w:pPr>
      <w:r>
        <w:rPr>
          <w:rFonts w:ascii="Times New Roman" w:cs="Times New Roman" w:eastAsia="Times New Roman" w:hAnsi="Times New Roman"/>
          <w:sz w:val="21"/>
          <w:szCs w:val="21"/>
          <w:color w:val="auto"/>
        </w:rPr>
        <w:t>reasonably be expected to have a Material Adverse Effect and (y) any Material Indebtedness Agreement. The Borrower will maintain in effect and enforce policies and procedures reasonably designed to promote and achieve compliance by the Borrower, its Subsidiaries and their respective directors, officers, employees and agents with Anti-Corruption Laws and applicable Sanctions.</w:t>
      </w:r>
    </w:p>
    <w:p>
      <w:pPr>
        <w:spacing w:after="0" w:line="2"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Maintenance of Properties</w:t>
      </w:r>
      <w:r>
        <w:rPr>
          <w:rFonts w:ascii="Times New Roman" w:cs="Times New Roman" w:eastAsia="Times New Roman" w:hAnsi="Times New Roman"/>
          <w:sz w:val="21"/>
          <w:szCs w:val="21"/>
          <w:color w:val="auto"/>
        </w:rPr>
        <w:t>. The Borrower will, and will cause each Subsidiary to, do all things necessary to maintain, preserve, protect and keep its Property in good repair, working order and condition, ordinary wear and tear excepted, and make all necessary and proper repairs, renewals and replacements so that its business carried on in connection therewith may be properly conducted at all times.</w:t>
      </w:r>
    </w:p>
    <w:p>
      <w:pPr>
        <w:spacing w:after="0" w:line="3"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6.9. </w:t>
      </w:r>
      <w:r>
        <w:rPr>
          <w:rFonts w:ascii="Times New Roman" w:cs="Times New Roman" w:eastAsia="Times New Roman" w:hAnsi="Times New Roman"/>
          <w:sz w:val="21"/>
          <w:szCs w:val="21"/>
          <w:u w:val="single" w:color="auto"/>
          <w:color w:val="auto"/>
        </w:rPr>
        <w:t>Books and Records; Inspection</w:t>
      </w:r>
      <w:r>
        <w:rPr>
          <w:rFonts w:ascii="Times New Roman" w:cs="Times New Roman" w:eastAsia="Times New Roman" w:hAnsi="Times New Roman"/>
          <w:sz w:val="21"/>
          <w:szCs w:val="21"/>
          <w:color w:val="auto"/>
        </w:rPr>
        <w:t>. The Borrower will, and will cause each of its Subsidiaries to, keep proper books of record and account in which full, true and correct entries are made of all dealings and transactions in relation to its business and activities. The Borrower will, and will cause each Subsidiary to, permit the Administrative Agent and the Lenders, by their respective representatives and agents, to inspect any of the Property, books and financial records of the Borrower and each Subsidiary, to examine and make copies of the books of accounts and other financial records of the Borrower and each Subsidiary, and to discuss the affairs, finances and accounts of the Borrower and each Subsidiary with, and to be advised as to the same by, their respective officers at such reasonable times and intervals as the Administrative Agent or any Lender may designate. The cost of the inspection referred to in the preceding sentence shall be for the account of the Lenders unless an Event of Default has occurred and is continuing, in which case the cost of such inspection shall be for the account of the Borrower.</w:t>
      </w:r>
    </w:p>
    <w:p>
      <w:pPr>
        <w:spacing w:after="0" w:line="5"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Payment of Obligations</w:t>
      </w:r>
      <w:r>
        <w:rPr>
          <w:rFonts w:ascii="Times New Roman" w:cs="Times New Roman" w:eastAsia="Times New Roman" w:hAnsi="Times New Roman"/>
          <w:sz w:val="21"/>
          <w:szCs w:val="21"/>
          <w:color w:val="auto"/>
        </w:rPr>
        <w:t>. The Borrower will, and will cause each of its Subsidiaries to, pay its obligations, including Tax liabilities, that, if not paid, would reasonably be expected to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spacing w:after="0" w:line="237"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1"/>
          <w:szCs w:val="21"/>
          <w:color w:val="auto"/>
        </w:rPr>
        <w:t>6.11.</w:t>
      </w:r>
      <w:r>
        <w:rPr>
          <w:sz w:val="20"/>
          <w:szCs w:val="20"/>
          <w:color w:val="auto"/>
        </w:rPr>
        <w:tab/>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The Borrower will not, nor will it permit any Subsidiary to, create, incur or suffer to exist 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Indebtedness, except:</w:t>
      </w:r>
    </w:p>
    <w:p>
      <w:pPr>
        <w:spacing w:after="0" w:line="13" w:lineRule="exact"/>
        <w:rPr>
          <w:sz w:val="20"/>
          <w:szCs w:val="20"/>
          <w:color w:val="auto"/>
        </w:rPr>
      </w:pPr>
    </w:p>
    <w:p>
      <w:pPr>
        <w:ind w:left="1740" w:hanging="449"/>
        <w:spacing w:after="0"/>
        <w:tabs>
          <w:tab w:leader="none" w:pos="17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Loans and the Reimbursement Obligations.</w:t>
      </w:r>
    </w:p>
    <w:p>
      <w:pPr>
        <w:spacing w:after="0" w:line="55" w:lineRule="exact"/>
        <w:rPr>
          <w:rFonts w:ascii="Times New Roman" w:cs="Times New Roman" w:eastAsia="Times New Roman" w:hAnsi="Times New Roman"/>
          <w:sz w:val="21"/>
          <w:szCs w:val="21"/>
          <w:color w:val="auto"/>
        </w:rPr>
      </w:pPr>
    </w:p>
    <w:p>
      <w:pPr>
        <w:ind w:firstLine="1291"/>
        <w:spacing w:after="0" w:line="279" w:lineRule="auto"/>
        <w:tabs>
          <w:tab w:leader="none" w:pos="176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existing on the date hereof and described in Schedule 6.11 and any renewal or extension of such Indebtedness that does not increase the principal amount thereof.</w:t>
      </w:r>
    </w:p>
    <w:p>
      <w:pPr>
        <w:ind w:left="1740" w:hanging="449"/>
        <w:spacing w:after="0"/>
        <w:tabs>
          <w:tab w:leader="none" w:pos="17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under Swaps that are non-speculative in nature.</w:t>
      </w:r>
    </w:p>
    <w:p>
      <w:pPr>
        <w:spacing w:after="0" w:line="66" w:lineRule="exact"/>
        <w:rPr>
          <w:rFonts w:ascii="Times New Roman" w:cs="Times New Roman" w:eastAsia="Times New Roman" w:hAnsi="Times New Roman"/>
          <w:sz w:val="21"/>
          <w:szCs w:val="21"/>
          <w:color w:val="auto"/>
        </w:rPr>
      </w:pPr>
    </w:p>
    <w:p>
      <w:pPr>
        <w:ind w:firstLine="1291"/>
        <w:spacing w:after="0" w:line="279" w:lineRule="auto"/>
        <w:tabs>
          <w:tab w:leader="none" w:pos="1857"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(i) the Borrower or any Guarantor owing to a Subsidiary that is not a Guarantor, (ii) the Borrower owing to any Guarantor or (iii) any Guarantor owing to the Borrower or another Guarantor.</w:t>
      </w:r>
    </w:p>
    <w:p>
      <w:pPr>
        <w:ind w:firstLine="1291"/>
        <w:spacing w:after="0" w:line="285" w:lineRule="auto"/>
        <w:tabs>
          <w:tab w:leader="none" w:pos="174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Contingent Obligations in respect to Indebtedness of a Loan Party to the extent such Indebtedness is permitted to exist or be incurred pursuant to this Section 6.11.</w:t>
      </w:r>
    </w:p>
    <w:p>
      <w:pPr>
        <w:spacing w:after="0" w:line="1" w:lineRule="exact"/>
        <w:rPr>
          <w:rFonts w:ascii="Times New Roman" w:cs="Times New Roman" w:eastAsia="Times New Roman" w:hAnsi="Times New Roman"/>
          <w:sz w:val="21"/>
          <w:szCs w:val="21"/>
          <w:color w:val="auto"/>
        </w:rPr>
      </w:pPr>
    </w:p>
    <w:p>
      <w:pPr>
        <w:jc w:val="both"/>
        <w:ind w:firstLine="1291"/>
        <w:spacing w:after="0" w:line="271" w:lineRule="auto"/>
        <w:tabs>
          <w:tab w:leader="none" w:pos="171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Event of Default is then outstanding or would result upon the incurrence thereof, and the Borrower is in pro forma compliance with the covenants set forth in Section 6.20 (including giving pro forma effect to the incurrence of the applicable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409" w:right="339" w:bottom="1440" w:gutter="0" w:footer="0" w:header="0"/>
        </w:sectPr>
      </w:pPr>
    </w:p>
    <w:bookmarkStart w:id="82" w:name="page83"/>
    <w:bookmarkEnd w:id="82"/>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6.12. </w:t>
      </w:r>
      <w:r>
        <w:rPr>
          <w:rFonts w:ascii="Times New Roman" w:cs="Times New Roman" w:eastAsia="Times New Roman" w:hAnsi="Times New Roman"/>
          <w:sz w:val="21"/>
          <w:szCs w:val="21"/>
          <w:u w:val="single" w:color="auto"/>
          <w:color w:val="auto"/>
        </w:rPr>
        <w:t>Merger</w:t>
      </w:r>
      <w:r>
        <w:rPr>
          <w:rFonts w:ascii="Times New Roman" w:cs="Times New Roman" w:eastAsia="Times New Roman" w:hAnsi="Times New Roman"/>
          <w:sz w:val="21"/>
          <w:szCs w:val="21"/>
          <w:color w:val="auto"/>
        </w:rPr>
        <w:t>. The Borrower will not, nor will it permit any Subsidiary to, merge or consolidate with or into any other Person, or permit any other Person to merge into or consolidate with it, or liquidate or dissolve, except that (i) a Subsidiary may merge, consolidate, liquidate or dissolve into the Borrower or a Guarantor (with the Borrower or a Guarantor being the survivor thereof, and with the Borrower being the survivor of any merger with any Guarantor or Subsidiary), (ii) a non-Guarantor Subsidiary may merge, consolidate, liquidate or dissolve into another non-Guarantor Subsidiary, and (iii) the Borrower or any Subsidiary may merge or consolidate with or into any Person other than the Borrower or a Subsidiary in order to effect a Permitted Acquisition (with the survivor of any merger being the Borrower if the Borrower is a party to the merger, or any Person that is, or upon consummation of the merger will be, a Subsidiary of the Borrower).</w:t>
      </w:r>
    </w:p>
    <w:p>
      <w:pPr>
        <w:spacing w:after="0" w:line="2"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1"/>
          <w:szCs w:val="21"/>
          <w:color w:val="auto"/>
        </w:rPr>
        <w:t>6.13.</w:t>
      </w:r>
      <w:r>
        <w:rPr>
          <w:sz w:val="20"/>
          <w:szCs w:val="20"/>
          <w:color w:val="auto"/>
        </w:rPr>
        <w:tab/>
      </w:r>
      <w:r>
        <w:rPr>
          <w:rFonts w:ascii="Times New Roman" w:cs="Times New Roman" w:eastAsia="Times New Roman" w:hAnsi="Times New Roman"/>
          <w:sz w:val="21"/>
          <w:szCs w:val="21"/>
          <w:u w:val="single" w:color="auto"/>
          <w:color w:val="auto"/>
        </w:rPr>
        <w:t>Sale of Assets</w:t>
      </w:r>
      <w:r>
        <w:rPr>
          <w:rFonts w:ascii="Times New Roman" w:cs="Times New Roman" w:eastAsia="Times New Roman" w:hAnsi="Times New Roman"/>
          <w:sz w:val="21"/>
          <w:szCs w:val="21"/>
          <w:color w:val="auto"/>
        </w:rPr>
        <w:t>. The Borrower will not, nor will it permit any Subsidiary to, lease, sell or otherwise dispose of its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Property (other than the sale or disposition of previously repurchased Excluded Margin Stock) to any other Person, except:</w:t>
      </w:r>
    </w:p>
    <w:p>
      <w:pPr>
        <w:spacing w:after="0" w:line="13" w:lineRule="exact"/>
        <w:rPr>
          <w:sz w:val="20"/>
          <w:szCs w:val="20"/>
          <w:color w:val="auto"/>
        </w:rPr>
      </w:pPr>
    </w:p>
    <w:p>
      <w:pPr>
        <w:jc w:val="both"/>
        <w:ind w:right="20" w:firstLine="1291"/>
        <w:spacing w:after="0" w:line="252" w:lineRule="auto"/>
        <w:tabs>
          <w:tab w:leader="none" w:pos="189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Sales or dispositions of Property between the Borrower and its Subsidiaries or between the Borrower’s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sales or dispositions between a Loan Party and a Subsidiary that is not a Loan Party shall be for fair market value.</w:t>
      </w:r>
    </w:p>
    <w:p>
      <w:pPr>
        <w:spacing w:after="0" w:line="1" w:lineRule="exact"/>
        <w:rPr>
          <w:rFonts w:ascii="Times New Roman" w:cs="Times New Roman" w:eastAsia="Times New Roman" w:hAnsi="Times New Roman"/>
          <w:sz w:val="21"/>
          <w:szCs w:val="21"/>
          <w:color w:val="auto"/>
        </w:rPr>
      </w:pPr>
    </w:p>
    <w:p>
      <w:pPr>
        <w:ind w:left="1840" w:hanging="549"/>
        <w:spacing w:after="0"/>
        <w:tabs>
          <w:tab w:leader="none" w:pos="184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leases or other dispositions of inventory, or used, worn-out or surplus equipment, all in the ordinary</w:t>
      </w:r>
    </w:p>
    <w:p>
      <w:pPr>
        <w:spacing w:after="0" w:line="1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course of business.</w:t>
      </w:r>
    </w:p>
    <w:p>
      <w:pPr>
        <w:spacing w:after="0" w:line="25" w:lineRule="exact"/>
        <w:rPr>
          <w:rFonts w:ascii="Times New Roman" w:cs="Times New Roman" w:eastAsia="Times New Roman" w:hAnsi="Times New Roman"/>
          <w:sz w:val="21"/>
          <w:szCs w:val="21"/>
          <w:color w:val="auto"/>
        </w:rPr>
      </w:pPr>
    </w:p>
    <w:p>
      <w:pPr>
        <w:jc w:val="both"/>
        <w:ind w:firstLine="1291"/>
        <w:spacing w:after="0" w:line="252" w:lineRule="auto"/>
        <w:tabs>
          <w:tab w:leader="none" w:pos="1766"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equipment to the extent that such equipment is exchanged for credit against the purchase price of similar replacement equipment, or the proceeds of such sale are applied with reasonable promptness to the purchase price of such replacement equipment.</w:t>
      </w:r>
    </w:p>
    <w:p>
      <w:pPr>
        <w:spacing w:after="0" w:line="1" w:lineRule="exact"/>
        <w:rPr>
          <w:rFonts w:ascii="Times New Roman" w:cs="Times New Roman" w:eastAsia="Times New Roman" w:hAnsi="Times New Roman"/>
          <w:sz w:val="21"/>
          <w:szCs w:val="21"/>
          <w:color w:val="auto"/>
        </w:rPr>
      </w:pPr>
    </w:p>
    <w:p>
      <w:pPr>
        <w:jc w:val="both"/>
        <w:ind w:firstLine="1291"/>
        <w:spacing w:after="0" w:line="255" w:lineRule="auto"/>
        <w:tabs>
          <w:tab w:leader="none" w:pos="1764"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Leases, sales or other dispositions of its Property that, together with all other Property of the Borrower and its Subsidiaries previously leased, sold or disposed of (other than inventory in the ordinary course of business) as permitted by this Section 6.13(d) during the twelve-month period ending with the month in which any such lease, sale or other disposition occurs, do not constitute a Substantial Portion of the Property of the Borrower and its Subsidiaries.</w:t>
      </w:r>
    </w:p>
    <w:p>
      <w:pPr>
        <w:spacing w:after="0" w:line="3" w:lineRule="exact"/>
        <w:rPr>
          <w:rFonts w:ascii="Times New Roman" w:cs="Times New Roman" w:eastAsia="Times New Roman" w:hAnsi="Times New Roman"/>
          <w:sz w:val="21"/>
          <w:szCs w:val="21"/>
          <w:color w:val="auto"/>
        </w:rPr>
      </w:pPr>
    </w:p>
    <w:p>
      <w:pPr>
        <w:ind w:left="1740" w:hanging="449"/>
        <w:spacing w:after="0"/>
        <w:tabs>
          <w:tab w:leader="none" w:pos="174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 transfer or other disposition of cash and Cash Equivalent Investments.</w:t>
      </w:r>
    </w:p>
    <w:p>
      <w:pPr>
        <w:spacing w:after="0" w:line="12" w:lineRule="exact"/>
        <w:rPr>
          <w:rFonts w:ascii="Times New Roman" w:cs="Times New Roman" w:eastAsia="Times New Roman" w:hAnsi="Times New Roman"/>
          <w:sz w:val="21"/>
          <w:szCs w:val="21"/>
          <w:color w:val="auto"/>
        </w:rPr>
      </w:pPr>
    </w:p>
    <w:p>
      <w:pPr>
        <w:jc w:val="both"/>
        <w:ind w:firstLine="1291"/>
        <w:spacing w:after="0" w:line="256" w:lineRule="auto"/>
        <w:tabs>
          <w:tab w:leader="none" w:pos="1705"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transfer or other disposition of Property (i) for fair market value, (ii) made pursuant to the reasonable requirements of the Borrower’s or the applicable Subsidiary’s business, (iii) upon fair and reasonable terms no less favorable to the Borrower or such Subsidiary than the Borrower or such Subsidiary would obtain in a comparable arms’-length transaction, and</w:t>
      </w:r>
    </w:p>
    <w:p>
      <w:pPr>
        <w:spacing w:after="0" w:line="2" w:lineRule="exact"/>
        <w:rPr>
          <w:rFonts w:ascii="Times New Roman" w:cs="Times New Roman" w:eastAsia="Times New Roman" w:hAnsi="Times New Roman"/>
          <w:sz w:val="21"/>
          <w:szCs w:val="21"/>
          <w:color w:val="auto"/>
        </w:rPr>
      </w:pPr>
    </w:p>
    <w:p>
      <w:pPr>
        <w:jc w:val="both"/>
        <w:ind w:firstLine="7"/>
        <w:spacing w:after="0" w:line="255" w:lineRule="auto"/>
        <w:tabs>
          <w:tab w:leader="none" w:pos="39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where the proceeds resulting therefrom are used, promptly upon receipt thereof, to consummate one or more Investments permitted under Section 6.14(h);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with respect to this clause (iv), the Borrower or the applicable Subsidiary may receive Equity Interests in a Person as consideration for the Property sold, transferred or otherwise disposed of to such Person so long as the Investment resulting from the receipt of such Equity Interests does not otherwise contravene the terms and conditions of this Agreement.</w:t>
      </w:r>
    </w:p>
    <w:p>
      <w:pPr>
        <w:spacing w:after="0" w:line="1" w:lineRule="exact"/>
        <w:rPr>
          <w:rFonts w:ascii="Times New Roman" w:cs="Times New Roman" w:eastAsia="Times New Roman" w:hAnsi="Times New Roman"/>
          <w:sz w:val="21"/>
          <w:szCs w:val="21"/>
          <w:color w:val="auto"/>
        </w:rPr>
      </w:pPr>
    </w:p>
    <w:p>
      <w:pPr>
        <w:jc w:val="both"/>
        <w:ind w:firstLine="642"/>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6.14. </w:t>
      </w:r>
      <w:r>
        <w:rPr>
          <w:rFonts w:ascii="Times New Roman" w:cs="Times New Roman" w:eastAsia="Times New Roman" w:hAnsi="Times New Roman"/>
          <w:sz w:val="21"/>
          <w:szCs w:val="21"/>
          <w:u w:val="single" w:color="auto"/>
          <w:color w:val="auto"/>
        </w:rPr>
        <w:t>Investments</w:t>
      </w:r>
      <w:r>
        <w:rPr>
          <w:rFonts w:ascii="Times New Roman" w:cs="Times New Roman" w:eastAsia="Times New Roman" w:hAnsi="Times New Roman"/>
          <w:sz w:val="21"/>
          <w:szCs w:val="21"/>
          <w:color w:val="auto"/>
        </w:rPr>
        <w:t>. The Borrower will not, nor will it permit any Subsidiary to, make or suffer to exist any Investments (including loans and advances to, and other Investments in, Subsidiaries), or commitments therefor, or to create any Subsidiary or to become or remain a partner in any partnership or joint venture, except:</w:t>
      </w:r>
    </w:p>
    <w:p>
      <w:pPr>
        <w:spacing w:after="0" w:line="1" w:lineRule="exact"/>
        <w:rPr>
          <w:rFonts w:ascii="Times New Roman" w:cs="Times New Roman" w:eastAsia="Times New Roman" w:hAnsi="Times New Roman"/>
          <w:sz w:val="21"/>
          <w:szCs w:val="21"/>
          <w:color w:val="auto"/>
        </w:rPr>
      </w:pPr>
    </w:p>
    <w:p>
      <w:pPr>
        <w:ind w:left="1740" w:hanging="449"/>
        <w:spacing w:after="0"/>
        <w:tabs>
          <w:tab w:leader="none" w:pos="174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Equivalent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409" w:right="339" w:bottom="1440" w:gutter="0" w:footer="0" w:header="0"/>
        </w:sectPr>
      </w:pPr>
    </w:p>
    <w:bookmarkStart w:id="83" w:name="page84"/>
    <w:bookmarkEnd w:id="83"/>
    <w:p>
      <w:pPr>
        <w:ind w:left="1820" w:hanging="529"/>
        <w:spacing w:after="0"/>
        <w:tabs>
          <w:tab w:leader="none" w:pos="18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Existing Investments in Subsidiaries and other Investments in existence on the date hereof and described 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6.14.</w:t>
      </w:r>
    </w:p>
    <w:p>
      <w:pPr>
        <w:spacing w:after="0" w:line="203" w:lineRule="exact"/>
        <w:rPr>
          <w:sz w:val="20"/>
          <w:szCs w:val="20"/>
          <w:color w:val="auto"/>
        </w:rPr>
      </w:pPr>
    </w:p>
    <w:p>
      <w:pPr>
        <w:ind w:left="1740" w:hanging="449"/>
        <w:spacing w:after="0"/>
        <w:tabs>
          <w:tab w:leader="none" w:pos="17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constituting Permitted Acquisitions.</w:t>
      </w:r>
    </w:p>
    <w:p>
      <w:pPr>
        <w:spacing w:after="0" w:line="239" w:lineRule="exact"/>
        <w:rPr>
          <w:rFonts w:ascii="Times New Roman" w:cs="Times New Roman" w:eastAsia="Times New Roman" w:hAnsi="Times New Roman"/>
          <w:sz w:val="21"/>
          <w:szCs w:val="21"/>
          <w:color w:val="auto"/>
        </w:rPr>
      </w:pPr>
    </w:p>
    <w:p>
      <w:pPr>
        <w:ind w:left="1760" w:hanging="469"/>
        <w:spacing w:after="0"/>
        <w:tabs>
          <w:tab w:leader="none" w:pos="17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Travel advances to management personnel and employees in the ordinary course of business.</w:t>
      </w:r>
    </w:p>
    <w:p>
      <w:pPr>
        <w:spacing w:after="0" w:line="226" w:lineRule="exact"/>
        <w:rPr>
          <w:rFonts w:ascii="Times New Roman" w:cs="Times New Roman" w:eastAsia="Times New Roman" w:hAnsi="Times New Roman"/>
          <w:sz w:val="21"/>
          <w:szCs w:val="21"/>
          <w:color w:val="auto"/>
        </w:rPr>
      </w:pPr>
    </w:p>
    <w:p>
      <w:pPr>
        <w:ind w:left="1740" w:hanging="449"/>
        <w:spacing w:after="0"/>
        <w:tabs>
          <w:tab w:leader="none" w:pos="17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constituting Swaps that are non-speculative in nature.</w:t>
      </w:r>
    </w:p>
    <w:p>
      <w:pPr>
        <w:spacing w:after="0" w:line="226" w:lineRule="exact"/>
        <w:rPr>
          <w:rFonts w:ascii="Times New Roman" w:cs="Times New Roman" w:eastAsia="Times New Roman" w:hAnsi="Times New Roman"/>
          <w:sz w:val="21"/>
          <w:szCs w:val="21"/>
          <w:color w:val="auto"/>
        </w:rPr>
      </w:pPr>
    </w:p>
    <w:p>
      <w:pPr>
        <w:ind w:left="1720" w:hanging="429"/>
        <w:spacing w:after="0"/>
        <w:tabs>
          <w:tab w:leader="none" w:pos="172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any Loan Party.</w:t>
      </w:r>
    </w:p>
    <w:p>
      <w:pPr>
        <w:spacing w:after="0" w:line="226" w:lineRule="exact"/>
        <w:rPr>
          <w:rFonts w:ascii="Times New Roman" w:cs="Times New Roman" w:eastAsia="Times New Roman" w:hAnsi="Times New Roman"/>
          <w:sz w:val="21"/>
          <w:szCs w:val="21"/>
          <w:color w:val="auto"/>
        </w:rPr>
      </w:pPr>
    </w:p>
    <w:p>
      <w:pPr>
        <w:ind w:left="1760" w:hanging="469"/>
        <w:spacing w:after="0"/>
        <w:tabs>
          <w:tab w:leader="none" w:pos="17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Contingent Obligations to the extent permitted under Section 6.11.</w:t>
      </w:r>
    </w:p>
    <w:p>
      <w:pPr>
        <w:spacing w:after="0" w:line="226" w:lineRule="exact"/>
        <w:rPr>
          <w:rFonts w:ascii="Times New Roman" w:cs="Times New Roman" w:eastAsia="Times New Roman" w:hAnsi="Times New Roman"/>
          <w:sz w:val="21"/>
          <w:szCs w:val="21"/>
          <w:color w:val="auto"/>
        </w:rPr>
      </w:pPr>
    </w:p>
    <w:p>
      <w:pPr>
        <w:jc w:val="both"/>
        <w:ind w:firstLine="1291"/>
        <w:spacing w:after="0" w:line="265" w:lineRule="auto"/>
        <w:tabs>
          <w:tab w:leader="none" w:pos="179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Investments, provided that the aggregate outstanding principal amount of such other Investments does not exceed 15% of Consolidated Total Assets (including after giving pro forma effect to any Acquisitions or Investments made in connection therewith) as of the end of the most recent fiscal quarter for which financial statements shall have been delivered pursuant to Section 6.1(a) or 6.1(b) (or, prior to the delivery of any such financial statements, the most recent financial statements of the Borrower referred to in Section 5.4), as applicable.</w:t>
      </w:r>
    </w:p>
    <w:p>
      <w:pPr>
        <w:spacing w:after="0" w:line="165" w:lineRule="exact"/>
        <w:rPr>
          <w:sz w:val="20"/>
          <w:szCs w:val="20"/>
          <w:color w:val="auto"/>
        </w:rPr>
      </w:pPr>
    </w:p>
    <w:p>
      <w:pPr>
        <w:ind w:firstLine="642"/>
        <w:spacing w:after="0" w:line="264" w:lineRule="auto"/>
        <w:rPr>
          <w:sz w:val="20"/>
          <w:szCs w:val="20"/>
          <w:color w:val="auto"/>
        </w:rPr>
      </w:pPr>
      <w:r>
        <w:rPr>
          <w:rFonts w:ascii="Times New Roman" w:cs="Times New Roman" w:eastAsia="Times New Roman" w:hAnsi="Times New Roman"/>
          <w:sz w:val="21"/>
          <w:szCs w:val="21"/>
          <w:color w:val="auto"/>
        </w:rPr>
        <w:t xml:space="preserve">6.15. </w:t>
      </w:r>
      <w:r>
        <w:rPr>
          <w:rFonts w:ascii="Times New Roman" w:cs="Times New Roman" w:eastAsia="Times New Roman" w:hAnsi="Times New Roman"/>
          <w:sz w:val="21"/>
          <w:szCs w:val="21"/>
          <w:u w:val="single" w:color="auto"/>
          <w:color w:val="auto"/>
        </w:rPr>
        <w:t>Acquisitions</w:t>
      </w:r>
      <w:r>
        <w:rPr>
          <w:rFonts w:ascii="Times New Roman" w:cs="Times New Roman" w:eastAsia="Times New Roman" w:hAnsi="Times New Roman"/>
          <w:sz w:val="21"/>
          <w:szCs w:val="21"/>
          <w:color w:val="auto"/>
        </w:rPr>
        <w:t>. The Borrower will not, nor will it permit any Subsidiary, to make any Acquisition other than a Permitted Acquisition.</w:t>
      </w:r>
    </w:p>
    <w:p>
      <w:pPr>
        <w:spacing w:after="0" w:line="2" w:lineRule="exact"/>
        <w:rPr>
          <w:sz w:val="20"/>
          <w:szCs w:val="20"/>
          <w:color w:val="auto"/>
        </w:rPr>
      </w:pPr>
    </w:p>
    <w:p>
      <w:pPr>
        <w:ind w:firstLine="642"/>
        <w:spacing w:after="0" w:line="273" w:lineRule="auto"/>
        <w:rPr>
          <w:sz w:val="20"/>
          <w:szCs w:val="20"/>
          <w:color w:val="auto"/>
        </w:rPr>
      </w:pPr>
      <w:r>
        <w:rPr>
          <w:rFonts w:ascii="Times New Roman" w:cs="Times New Roman" w:eastAsia="Times New Roman" w:hAnsi="Times New Roman"/>
          <w:sz w:val="21"/>
          <w:szCs w:val="21"/>
          <w:color w:val="auto"/>
        </w:rPr>
        <w:t xml:space="preserve">6.16. </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The Borrower will not, nor will it permit any Subsidiary to, create, incur, or suffer to exist any Lien in, of or on the Property of the Borrower or any of its Subsidiaries, except the Liens permitted below (collectively, the “Permitted Liens”):</w:t>
      </w:r>
    </w:p>
    <w:p>
      <w:pPr>
        <w:spacing w:after="0" w:line="1" w:lineRule="exact"/>
        <w:rPr>
          <w:sz w:val="20"/>
          <w:szCs w:val="20"/>
          <w:color w:val="auto"/>
        </w:rPr>
      </w:pPr>
    </w:p>
    <w:p>
      <w:pPr>
        <w:jc w:val="both"/>
        <w:ind w:firstLine="1291"/>
        <w:spacing w:after="0" w:line="271" w:lineRule="auto"/>
        <w:tabs>
          <w:tab w:leader="none" w:pos="174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taxes, assessments or governmental charges or levies on its Property if the same shall not at the time be delinquent or thereafter can be paid without penalty, or are being contested in good faith and by appropriate proceedings and for which adequate reserves in accordance with GAAP shall have been set aside on its books.</w:t>
      </w:r>
    </w:p>
    <w:p>
      <w:pPr>
        <w:spacing w:after="0" w:line="11" w:lineRule="exact"/>
        <w:rPr>
          <w:rFonts w:ascii="Times New Roman" w:cs="Times New Roman" w:eastAsia="Times New Roman" w:hAnsi="Times New Roman"/>
          <w:sz w:val="21"/>
          <w:szCs w:val="21"/>
          <w:color w:val="auto"/>
        </w:rPr>
      </w:pPr>
    </w:p>
    <w:p>
      <w:pPr>
        <w:jc w:val="both"/>
        <w:ind w:firstLine="1291"/>
        <w:spacing w:after="0" w:line="264" w:lineRule="auto"/>
        <w:tabs>
          <w:tab w:leader="none" w:pos="176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imposed by Law, such as carriers’, warehousemen’s and mechanics’ liens and other similar liens arising in the ordinary course of business which secure payment of obligations not more than 60 days past due or which are being contested in good faith by appropriate proceedings and for which adequate reserves in accordance with GAAP shall have been set aside on its books.</w:t>
      </w:r>
    </w:p>
    <w:p>
      <w:pPr>
        <w:spacing w:after="0" w:line="7" w:lineRule="exact"/>
        <w:rPr>
          <w:rFonts w:ascii="Times New Roman" w:cs="Times New Roman" w:eastAsia="Times New Roman" w:hAnsi="Times New Roman"/>
          <w:sz w:val="21"/>
          <w:szCs w:val="21"/>
          <w:color w:val="auto"/>
        </w:rPr>
      </w:pPr>
    </w:p>
    <w:p>
      <w:pPr>
        <w:ind w:firstLine="1291"/>
        <w:spacing w:after="0" w:line="285" w:lineRule="auto"/>
        <w:tabs>
          <w:tab w:leader="none" w:pos="175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out of pledges or deposits under worker’s compensation laws, unemployment insurance, old age pensions, or other social security or retirement benefits, or similar legislation.</w:t>
      </w:r>
    </w:p>
    <w:p>
      <w:pPr>
        <w:spacing w:after="0" w:line="1" w:lineRule="exact"/>
        <w:rPr>
          <w:rFonts w:ascii="Times New Roman" w:cs="Times New Roman" w:eastAsia="Times New Roman" w:hAnsi="Times New Roman"/>
          <w:sz w:val="21"/>
          <w:szCs w:val="21"/>
          <w:color w:val="auto"/>
        </w:rPr>
      </w:pPr>
    </w:p>
    <w:p>
      <w:pPr>
        <w:jc w:val="both"/>
        <w:ind w:firstLine="1291"/>
        <w:spacing w:after="0" w:line="270" w:lineRule="auto"/>
        <w:tabs>
          <w:tab w:leader="none" w:pos="175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Utility easements, building restrictions and such other encumbrances or charges against real property as are of a nature generally existing with respect to Properties of a similar character and which do not in any material way affect the marketability of the same or interfere with the use thereof in the business of the Borrower or its Subsidiaries.</w:t>
      </w:r>
    </w:p>
    <w:p>
      <w:pPr>
        <w:ind w:right="20" w:firstLine="1291"/>
        <w:spacing w:after="0" w:line="289" w:lineRule="auto"/>
        <w:tabs>
          <w:tab w:leader="none" w:pos="179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solely by virtue of any statutory or common law provision relating to bankers’ liens, rights of set-off or similar rights and remedies as to deposit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409" w:right="339" w:bottom="1440" w:gutter="0" w:footer="0" w:header="0"/>
        </w:sectPr>
      </w:pPr>
    </w:p>
    <w:bookmarkStart w:id="84" w:name="page85"/>
    <w:bookmarkEnd w:id="84"/>
    <w:p>
      <w:pPr>
        <w:jc w:val="both"/>
        <w:spacing w:after="0" w:line="269" w:lineRule="auto"/>
        <w:rPr>
          <w:sz w:val="20"/>
          <w:szCs w:val="20"/>
          <w:color w:val="auto"/>
        </w:rPr>
      </w:pPr>
      <w:r>
        <w:rPr>
          <w:rFonts w:ascii="Times New Roman" w:cs="Times New Roman" w:eastAsia="Times New Roman" w:hAnsi="Times New Roman"/>
          <w:sz w:val="21"/>
          <w:szCs w:val="21"/>
          <w:color w:val="auto"/>
        </w:rPr>
        <w:t>securities accounts or other funds maintained with a creditor depository institution; provided that (i) such account is not a dedicated cash collateral account and is not subject to restriction against access by Borrower or a Subsidiary in excess of those set forth by regulations promulgated by the Board of Governors of the Federal Reserve, and (ii) such account is not intended by the Borrower or any Subsidiary to provide collateral to the depository institution.</w:t>
      </w:r>
    </w:p>
    <w:p>
      <w:pPr>
        <w:spacing w:after="0" w:line="1" w:lineRule="exact"/>
        <w:rPr>
          <w:sz w:val="20"/>
          <w:szCs w:val="20"/>
          <w:color w:val="auto"/>
        </w:rPr>
      </w:pPr>
    </w:p>
    <w:p>
      <w:pPr>
        <w:ind w:left="1720" w:hanging="429"/>
        <w:spacing w:after="0"/>
        <w:tabs>
          <w:tab w:leader="none" w:pos="17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existing on the date hereof and described in Schedule 6.16.</w:t>
      </w:r>
    </w:p>
    <w:p>
      <w:pPr>
        <w:spacing w:after="0" w:line="66" w:lineRule="exact"/>
        <w:rPr>
          <w:rFonts w:ascii="Times New Roman" w:cs="Times New Roman" w:eastAsia="Times New Roman" w:hAnsi="Times New Roman"/>
          <w:sz w:val="21"/>
          <w:szCs w:val="21"/>
          <w:color w:val="auto"/>
        </w:rPr>
      </w:pPr>
    </w:p>
    <w:p>
      <w:pPr>
        <w:ind w:firstLine="1291"/>
        <w:spacing w:after="0" w:line="279" w:lineRule="auto"/>
        <w:tabs>
          <w:tab w:leader="none" w:pos="175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Property acquired in a Permitted Acquisition, provided that such Liens extend only to the Property so acquired and were not created in contemplation of such acquisition.</w:t>
      </w:r>
    </w:p>
    <w:p>
      <w:pPr>
        <w:ind w:firstLine="1291"/>
        <w:spacing w:after="0" w:line="285" w:lineRule="auto"/>
        <w:tabs>
          <w:tab w:leader="none" w:pos="182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the LC Issuer and/or the Swing Line Lender to cash collateralize or otherwise secure the obligations of a Defaulting Lender to fund risk participations hereunder.</w:t>
      </w:r>
    </w:p>
    <w:p>
      <w:pPr>
        <w:spacing w:after="0" w:line="1" w:lineRule="exact"/>
        <w:rPr>
          <w:rFonts w:ascii="Times New Roman" w:cs="Times New Roman" w:eastAsia="Times New Roman" w:hAnsi="Times New Roman"/>
          <w:sz w:val="21"/>
          <w:szCs w:val="21"/>
          <w:color w:val="auto"/>
        </w:rPr>
      </w:pPr>
    </w:p>
    <w:p>
      <w:pPr>
        <w:ind w:firstLine="1291"/>
        <w:spacing w:after="0" w:line="279" w:lineRule="auto"/>
        <w:tabs>
          <w:tab w:leader="none" w:pos="18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Collateral relating to Facility LCs to the extent permitted or required by this Agreement, and Liens otherwise securing the Obligations.</w:t>
      </w:r>
    </w:p>
    <w:p>
      <w:pPr>
        <w:ind w:left="1700" w:hanging="409"/>
        <w:spacing w:after="0"/>
        <w:tabs>
          <w:tab w:leader="none" w:pos="170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securing liability to insurance carriers under insurance or self-insurance arrangements.</w:t>
      </w:r>
    </w:p>
    <w:p>
      <w:pPr>
        <w:spacing w:after="0" w:line="66" w:lineRule="exact"/>
        <w:rPr>
          <w:rFonts w:ascii="Times New Roman" w:cs="Times New Roman" w:eastAsia="Times New Roman" w:hAnsi="Times New Roman"/>
          <w:sz w:val="21"/>
          <w:szCs w:val="21"/>
          <w:color w:val="auto"/>
        </w:rPr>
      </w:pPr>
    </w:p>
    <w:p>
      <w:pPr>
        <w:ind w:left="1760" w:hanging="469"/>
        <w:spacing w:after="0"/>
        <w:tabs>
          <w:tab w:leader="none" w:pos="17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Cash Management Services.</w:t>
      </w:r>
    </w:p>
    <w:p>
      <w:pPr>
        <w:spacing w:after="0" w:line="66" w:lineRule="exact"/>
        <w:rPr>
          <w:rFonts w:ascii="Times New Roman" w:cs="Times New Roman" w:eastAsia="Times New Roman" w:hAnsi="Times New Roman"/>
          <w:sz w:val="21"/>
          <w:szCs w:val="21"/>
          <w:color w:val="auto"/>
        </w:rPr>
      </w:pPr>
    </w:p>
    <w:p>
      <w:pPr>
        <w:jc w:val="both"/>
        <w:ind w:firstLine="1291"/>
        <w:spacing w:after="0" w:line="274" w:lineRule="auto"/>
        <w:tabs>
          <w:tab w:leader="none" w:pos="173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2" w:lineRule="exact"/>
        <w:rPr>
          <w:rFonts w:ascii="Times New Roman" w:cs="Times New Roman" w:eastAsia="Times New Roman" w:hAnsi="Times New Roman"/>
          <w:sz w:val="21"/>
          <w:szCs w:val="21"/>
          <w:color w:val="auto"/>
        </w:rPr>
      </w:pPr>
    </w:p>
    <w:p>
      <w:pPr>
        <w:jc w:val="both"/>
        <w:ind w:firstLine="1291"/>
        <w:spacing w:after="0" w:line="271" w:lineRule="auto"/>
        <w:tabs>
          <w:tab w:leader="none" w:pos="18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extension, renewal or replacement (or successive extensions, renewals or replacements), in whole or in part, of any Lien referred to in the foregoing clauses; provided that such extension, renewal or replacement Lien shall be limited to all or a part of the property which secured the Lien so extended, renewed or replaced (plus improvements on such property).</w:t>
      </w:r>
    </w:p>
    <w:p>
      <w:pPr>
        <w:spacing w:after="0" w:line="11" w:lineRule="exact"/>
        <w:rPr>
          <w:rFonts w:ascii="Times New Roman" w:cs="Times New Roman" w:eastAsia="Times New Roman" w:hAnsi="Times New Roman"/>
          <w:sz w:val="21"/>
          <w:szCs w:val="21"/>
          <w:color w:val="auto"/>
        </w:rPr>
      </w:pPr>
    </w:p>
    <w:p>
      <w:pPr>
        <w:jc w:val="both"/>
        <w:ind w:firstLine="1291"/>
        <w:spacing w:after="0" w:line="270" w:lineRule="auto"/>
        <w:tabs>
          <w:tab w:leader="none" w:pos="177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Landlord’s or other like Liens arising in the ordinary course of business which secure payment of obligations not more than 60 days past due or which are being contested in good faith by appropriate proceedings and for which adequate reserves in accordance with GAAP shall have been set aside on its books.</w:t>
      </w:r>
    </w:p>
    <w:p>
      <w:pPr>
        <w:ind w:left="1760" w:hanging="469"/>
        <w:spacing w:after="0"/>
        <w:tabs>
          <w:tab w:leader="none" w:pos="17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out of judgments, attachments or awards not resulting in an Event of Default.</w:t>
      </w:r>
    </w:p>
    <w:p>
      <w:pPr>
        <w:spacing w:after="0" w:line="66" w:lineRule="exact"/>
        <w:rPr>
          <w:rFonts w:ascii="Times New Roman" w:cs="Times New Roman" w:eastAsia="Times New Roman" w:hAnsi="Times New Roman"/>
          <w:sz w:val="21"/>
          <w:szCs w:val="21"/>
          <w:color w:val="auto"/>
        </w:rPr>
      </w:pPr>
    </w:p>
    <w:p>
      <w:pPr>
        <w:ind w:firstLine="1291"/>
        <w:spacing w:after="0" w:line="285" w:lineRule="auto"/>
        <w:tabs>
          <w:tab w:leader="none" w:pos="176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out of conditional sale, title retention, consignment or similar arrangements for the sale of goods entered into by Borrower or any of its Subsidiaries in the ordinary course of business.</w:t>
      </w:r>
    </w:p>
    <w:p>
      <w:pPr>
        <w:spacing w:after="0" w:line="1" w:lineRule="exact"/>
        <w:rPr>
          <w:rFonts w:ascii="Times New Roman" w:cs="Times New Roman" w:eastAsia="Times New Roman" w:hAnsi="Times New Roman"/>
          <w:sz w:val="21"/>
          <w:szCs w:val="21"/>
          <w:color w:val="auto"/>
        </w:rPr>
      </w:pPr>
    </w:p>
    <w:p>
      <w:pPr>
        <w:jc w:val="both"/>
        <w:ind w:firstLine="1291"/>
        <w:spacing w:after="0" w:line="261" w:lineRule="auto"/>
        <w:tabs>
          <w:tab w:leader="none" w:pos="186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or leases or licenses or sublicenses or subleases by Borrower or any Subsidiary as licensor, lessor, sublicensor or sublessor of any of such Person’s property, including intellectual property, on customary terms entered into in the ordinary course of business so long as such leases or licenses do not, individually or in the aggregate, (i) interfere in any material respect with the ordinary conduct of the business of Borrower or any Subsidiary or (ii) materially impair the use (for its intended purposes) or the value of the property subject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409" w:right="339" w:bottom="1440" w:gutter="0" w:footer="0" w:header="0"/>
        </w:sectPr>
      </w:pPr>
    </w:p>
    <w:bookmarkStart w:id="85" w:name="page86"/>
    <w:bookmarkEnd w:id="85"/>
    <w:p>
      <w:pPr>
        <w:jc w:val="both"/>
        <w:ind w:firstLine="1291"/>
        <w:spacing w:after="0" w:line="265" w:lineRule="auto"/>
        <w:tabs>
          <w:tab w:leader="none" w:pos="171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the ordinary course of business on specific items of inventory or other goods, and proceeds thereof, of any Person securing such Person’s obligations in respect of bankers’ acceptances, tender, bid, judgment, appeal, performance or governmental contract bonds, surety bonds and completion guarantees, surety, standby letters of credit and warranty and contractual service obligations of a like nature, trade letters of credit and documentary letters of credit and similar bonds or guarantees provided by Borrower or any Subsidiary of Borrower.</w:t>
      </w:r>
    </w:p>
    <w:p>
      <w:pPr>
        <w:spacing w:after="0" w:line="4" w:lineRule="exact"/>
        <w:rPr>
          <w:rFonts w:ascii="Times New Roman" w:cs="Times New Roman" w:eastAsia="Times New Roman" w:hAnsi="Times New Roman"/>
          <w:sz w:val="21"/>
          <w:szCs w:val="21"/>
          <w:color w:val="auto"/>
        </w:rPr>
      </w:pPr>
    </w:p>
    <w:p>
      <w:pPr>
        <w:jc w:val="both"/>
        <w:ind w:firstLine="1291"/>
        <w:spacing w:after="0" w:line="262" w:lineRule="auto"/>
        <w:tabs>
          <w:tab w:leader="none" w:pos="175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(i) the Equity Interests of any non-Wholly Owned Subsidiary or (ii) the Equity Interests of any Person that is not a Subsidiary, in each case owned by the Borrower or any Subsidiary, any customary encumbrance, restriction or other Lien not granted in circumvention of the requirements of this Section 6.16, including any put and call arrangements, related to such Equity Interests set forth in (x) the organizational documents of such Subsidiary or such other Person or any related joint venture, shareholders’ or similar agreement or (y) in the case of any such Person that is not a Subsidiary, any agreement or document governing Indebtedness of such Person that is non-recourse to the Borrower or any of its Subsidiaries.</w:t>
      </w:r>
    </w:p>
    <w:p>
      <w:pPr>
        <w:spacing w:after="0" w:line="9" w:lineRule="exact"/>
        <w:rPr>
          <w:rFonts w:ascii="Times New Roman" w:cs="Times New Roman" w:eastAsia="Times New Roman" w:hAnsi="Times New Roman"/>
          <w:sz w:val="21"/>
          <w:szCs w:val="21"/>
          <w:color w:val="auto"/>
        </w:rPr>
      </w:pPr>
    </w:p>
    <w:p>
      <w:pPr>
        <w:jc w:val="both"/>
        <w:ind w:firstLine="1291"/>
        <w:spacing w:after="0" w:line="262" w:lineRule="auto"/>
        <w:tabs>
          <w:tab w:leader="none" w:pos="186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Liens on Property of the Borrower or any of its Subsidiaries securing any Indebtedness or other liabilities;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outstanding principal amount of all such Indebtedness and liabilities secured by Property of the Borrower and its Subsidiaries shall not exceed 15% of Consolidated Total Assets (including after giving pro forma effect to any Acquisitions or Investments made in connection therewith) as of the end of the most recent fiscal quarter for which financial statements shall have been delivered pursuant to Section 6.1(a) or 6.1(b) (or, prior to the delivery of any such financial statements, the most recent financial statements of the Borrower referred to in Section 5.4), as applicable.</w:t>
      </w:r>
    </w:p>
    <w:p>
      <w:pPr>
        <w:spacing w:after="0" w:line="10"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6.17. </w:t>
      </w:r>
      <w:r>
        <w:rPr>
          <w:rFonts w:ascii="Times New Roman" w:cs="Times New Roman" w:eastAsia="Times New Roman" w:hAnsi="Times New Roman"/>
          <w:sz w:val="21"/>
          <w:szCs w:val="21"/>
          <w:u w:val="single" w:color="auto"/>
          <w:color w:val="auto"/>
        </w:rPr>
        <w:t>Affiliates</w:t>
      </w:r>
      <w:r>
        <w:rPr>
          <w:rFonts w:ascii="Times New Roman" w:cs="Times New Roman" w:eastAsia="Times New Roman" w:hAnsi="Times New Roman"/>
          <w:sz w:val="21"/>
          <w:szCs w:val="21"/>
          <w:color w:val="auto"/>
        </w:rPr>
        <w:t>. The Borrower will not, and will not permit any Subsidiary to, enter into any transaction (including the purchase or sale of any Property or service) with, or make any payment or transfer to, any Affiliate (other than the Borrower or another Subsidiary) except (i) pursuant to the reasonable requirements of the Borrower’s or such Subsidiary’s business and upon fair and reasonable terms no less favorable to the Borrower or such Subsidiary than the Borrower or such Subsidiary would obtain in a comparable arms-length transaction, (ii) loans and advances to any officer or director, (iii) the issuance or sale of any Equity Interests of the Borrower or the receipt by the Borrower of any capital contribution from its shareholders and (iv) the payment of customary compensation and fees in the ordinary course of business paid to, and indemnity provided on behalf of, officers or directors of the Borrower or any Subsidiary.</w:t>
      </w:r>
    </w:p>
    <w:p>
      <w:pPr>
        <w:spacing w:after="0" w:line="7"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6.18. </w:t>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The Borrower will not, nor will it permit any Subsidiary to, make any Restricted Payment, except that (i) any Subsidiary may declare and pay dividends or make distributions to the Borrower or to a Wholly-Owned Subsidiary of the Borrower, (ii) the Borrower may declare and pay dividends on its capital stock provided that no Default or Event of Default shall exist before or after giving effect to such dividends or be created as a result thereof, (iii) each Subsidiary may declare and dividends or make distributions to the Borrower, any other Subsidiary and any other Person that owns a direct Equity Interest in such Subsidiary, ratably according to their respective holdings of Equity Interests in respect of which such dividend or distribution is being made, (iv) so long as no Default or Event of Default has occurred or is continuing or would result therefrom, any redemption, retirement, sinking fund or similar payment, purchase or other acquisition for value, direct or indirect, of any Equity Interests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409" w:right="339" w:bottom="1440" w:gutter="0" w:footer="0" w:header="0"/>
        </w:sectPr>
      </w:pPr>
    </w:p>
    <w:bookmarkStart w:id="86" w:name="page87"/>
    <w:bookmarkEnd w:id="86"/>
    <w:p>
      <w:pPr>
        <w:jc w:val="both"/>
        <w:spacing w:after="0" w:line="259" w:lineRule="auto"/>
        <w:rPr>
          <w:sz w:val="20"/>
          <w:szCs w:val="20"/>
          <w:color w:val="auto"/>
        </w:rPr>
      </w:pPr>
      <w:r>
        <w:rPr>
          <w:rFonts w:ascii="Times New Roman" w:cs="Times New Roman" w:eastAsia="Times New Roman" w:hAnsi="Times New Roman"/>
          <w:sz w:val="21"/>
          <w:szCs w:val="21"/>
          <w:color w:val="auto"/>
        </w:rPr>
        <w:t>Borrower, (v) the Borrower may make repurchases, redemptions or other acquisitions or retirements for value of Equity Interests deemed to occur upon the exercise of stock options, warrants, rights to acquire Equity Interests if such Equity Interests represent a portion of the exercise or exchange price thereof, and any repurchases, redemptions or other acquisitions or retirements for value of Equity Interests made in lieu of withholding taxes in connection with the vesting of Equity Interests or the exercise or exchange of warrants, options or rights to acquire Equity Interests, (vi) the payment of cash in lieu of the issuance of fractional shares and</w:t>
      </w:r>
    </w:p>
    <w:p>
      <w:pPr>
        <w:spacing w:after="0" w:line="5" w:lineRule="exact"/>
        <w:rPr>
          <w:sz w:val="20"/>
          <w:szCs w:val="20"/>
          <w:color w:val="auto"/>
        </w:rPr>
      </w:pPr>
    </w:p>
    <w:p>
      <w:pPr>
        <w:ind w:firstLine="7"/>
        <w:spacing w:after="0" w:line="252" w:lineRule="auto"/>
        <w:tabs>
          <w:tab w:leader="none" w:pos="42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distributions to dissenting stockholders, members or partners pursuant to applicable Law or in connection with the settlement or other satisfaction of legal claims made pursuant to or in connection with a Permitted Acquisition.</w:t>
      </w:r>
    </w:p>
    <w:p>
      <w:pPr>
        <w:spacing w:after="0" w:line="1" w:lineRule="exact"/>
        <w:rPr>
          <w:rFonts w:ascii="Times New Roman" w:cs="Times New Roman" w:eastAsia="Times New Roman" w:hAnsi="Times New Roman"/>
          <w:sz w:val="21"/>
          <w:szCs w:val="21"/>
          <w:color w:val="auto"/>
        </w:rPr>
      </w:pPr>
    </w:p>
    <w:p>
      <w:pPr>
        <w:jc w:val="both"/>
        <w:ind w:firstLine="642"/>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6.19. </w:t>
      </w:r>
      <w:r>
        <w:rPr>
          <w:rFonts w:ascii="Times New Roman" w:cs="Times New Roman" w:eastAsia="Times New Roman" w:hAnsi="Times New Roman"/>
          <w:sz w:val="21"/>
          <w:szCs w:val="21"/>
          <w:u w:val="single" w:color="auto"/>
          <w:color w:val="auto"/>
        </w:rPr>
        <w:t>Restrictive Agreements</w:t>
      </w:r>
      <w:r>
        <w:rPr>
          <w:rFonts w:ascii="Times New Roman" w:cs="Times New Roman" w:eastAsia="Times New Roman" w:hAnsi="Times New Roman"/>
          <w:sz w:val="21"/>
          <w:szCs w:val="21"/>
          <w:color w:val="auto"/>
        </w:rPr>
        <w:t>. The Borrower will not, and will not permit any of its Subsidiaries to, directly or indirectly, enter into, incur or permit to exist any agreement or other arrangement that prohibits, restricts or imposes any condition upon (a) the ability of the Borrower or any Subsidiary to create, incur or permit to exist any Lien upon any of its Property or assets, or (b) the ability of any Subsidiary to pay dividends or other distributions with respect to holders of its Equity Interests or to make or repay loans or advances to the Borrower or any other Subsidiary or to guarantee Indebtedness of the Borrower or any other Subsidiary; provided that (i) the foregoing shall not apply to restrictions and conditions imposed by Law or by any Loan Document, (ii)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(iii) clause (a) of the foregoing shall not apply to restrictions or conditions imposed by any agreement relating to secured Indebtedness permitted by this Agreement if such restrictions or conditions apply only to the Property or assets securing such Indebtedness, (iv) clause (a) of the foregoing shall not apply to customary provisions in leases and other contracts restricting the assignment thereof, (v) the foregoing shall not apply to customary provisions in joint venture agreements, limited liability company operating agreements, partnership agreements, stockholders agreements and other similar agreements, and (vi) if a Subsidiary is the obligor under any secured Indebtedness permitted under this Agreement, clause (b) of the foregoing shall not apply to restrictions on dividends or distributions by such Subsidiary contained in the agreement relating to such Indebtedness.</w:t>
      </w:r>
    </w:p>
    <w:p>
      <w:pPr>
        <w:spacing w:after="0" w:line="3"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6.20.  </w:t>
      </w:r>
      <w:r>
        <w:rPr>
          <w:rFonts w:ascii="Times New Roman" w:cs="Times New Roman" w:eastAsia="Times New Roman" w:hAnsi="Times New Roman"/>
          <w:sz w:val="21"/>
          <w:szCs w:val="21"/>
          <w:u w:val="single" w:color="auto"/>
          <w:color w:val="auto"/>
        </w:rPr>
        <w:t>Financial Covenants</w:t>
      </w:r>
      <w:r>
        <w:rPr>
          <w:rFonts w:ascii="Times New Roman" w:cs="Times New Roman" w:eastAsia="Times New Roman" w:hAnsi="Times New Roman"/>
          <w:sz w:val="21"/>
          <w:szCs w:val="21"/>
          <w:color w:val="auto"/>
        </w:rPr>
        <w:t>.</w:t>
      </w:r>
    </w:p>
    <w:p>
      <w:pPr>
        <w:spacing w:after="0" w:line="12" w:lineRule="exact"/>
        <w:rPr>
          <w:rFonts w:ascii="Times New Roman" w:cs="Times New Roman" w:eastAsia="Times New Roman" w:hAnsi="Times New Roman"/>
          <w:sz w:val="21"/>
          <w:szCs w:val="21"/>
          <w:color w:val="auto"/>
        </w:rPr>
      </w:pPr>
    </w:p>
    <w:p>
      <w:pPr>
        <w:jc w:val="both"/>
        <w:ind w:firstLine="1291"/>
        <w:spacing w:after="0" w:line="256" w:lineRule="auto"/>
        <w:tabs>
          <w:tab w:leader="none" w:pos="1802"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Coverage Ratio</w:t>
      </w:r>
      <w:r>
        <w:rPr>
          <w:rFonts w:ascii="Times New Roman" w:cs="Times New Roman" w:eastAsia="Times New Roman" w:hAnsi="Times New Roman"/>
          <w:sz w:val="21"/>
          <w:szCs w:val="21"/>
          <w:color w:val="auto"/>
        </w:rPr>
        <w:t>. The ratio of the Borrower’s (i) Consolidated EBITDA to (ii) Consolidated Interest Expense for each Reference Period shall not be less than 3.50 to 1.00 (with such determination being made as of the end of each Reference Period).</w:t>
      </w:r>
    </w:p>
    <w:p>
      <w:pPr>
        <w:spacing w:after="0" w:line="2" w:lineRule="exact"/>
        <w:rPr>
          <w:rFonts w:ascii="Times New Roman" w:cs="Times New Roman" w:eastAsia="Times New Roman" w:hAnsi="Times New Roman"/>
          <w:sz w:val="21"/>
          <w:szCs w:val="21"/>
          <w:color w:val="auto"/>
        </w:rPr>
      </w:pPr>
    </w:p>
    <w:p>
      <w:pPr>
        <w:jc w:val="both"/>
        <w:ind w:firstLine="1291"/>
        <w:spacing w:after="0" w:line="256" w:lineRule="auto"/>
        <w:tabs>
          <w:tab w:leader="none" w:pos="1787"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Net Leverage Ratio</w:t>
      </w:r>
      <w:r>
        <w:rPr>
          <w:rFonts w:ascii="Times New Roman" w:cs="Times New Roman" w:eastAsia="Times New Roman" w:hAnsi="Times New Roman"/>
          <w:sz w:val="21"/>
          <w:szCs w:val="21"/>
          <w:color w:val="auto"/>
        </w:rPr>
        <w:t xml:space="preserve">. The Net Leverage Ratio with respect to each Reference Period shall not be greater than 3.50 to 1.00 (with such determination being made as of the end of each Reference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Borrower may in connection with a Permitted Acquisition for which the aggregate consideration paid or to be paid in respect thereof equals or exceeds $100,000,000, elect to increase the maximum Net Leverage Ratio permitted hereunder to 4.00 to 1.00 for a period of four consecutive fiscal quarters commencing with the fiscal quarter in which such Permitted Acquisition occurs (any such election in respect of the maximum Net Leverage Ratio pursuant to this Section being referred to as an “</w:t>
      </w:r>
      <w:r>
        <w:rPr>
          <w:rFonts w:ascii="Times New Roman" w:cs="Times New Roman" w:eastAsia="Times New Roman" w:hAnsi="Times New Roman"/>
          <w:sz w:val="21"/>
          <w:szCs w:val="21"/>
          <w:u w:val="single" w:color="auto"/>
          <w:color w:val="auto"/>
        </w:rPr>
        <w:t>Acquisition Holiday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(x) notwithstanding the foregoing, at least two (2) consecutive full fiscal quarters must elapse between the end of an Acquisition Holiday and the beginning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409" w:right="339" w:bottom="1440" w:gutter="0" w:footer="0" w:header="0"/>
        </w:sectPr>
      </w:pPr>
    </w:p>
    <w:bookmarkStart w:id="87" w:name="page88"/>
    <w:bookmarkEnd w:id="87"/>
    <w:p>
      <w:pPr>
        <w:jc w:val="both"/>
        <w:spacing w:after="0" w:line="261" w:lineRule="auto"/>
        <w:rPr>
          <w:sz w:val="20"/>
          <w:szCs w:val="20"/>
          <w:color w:val="auto"/>
        </w:rPr>
      </w:pPr>
      <w:r>
        <w:rPr>
          <w:rFonts w:ascii="Times New Roman" w:cs="Times New Roman" w:eastAsia="Times New Roman" w:hAnsi="Times New Roman"/>
          <w:sz w:val="21"/>
          <w:szCs w:val="21"/>
          <w:color w:val="auto"/>
        </w:rPr>
        <w:t>subsequent Acquisition Holiday, (y) no Event of Default shall be outstanding prior to giving effect to such Acquisition Holiday, and (z) the Borrower shall provide the Administrative Agent with notice of its exercise of the Acquisition Holiday, with such notice to be delivered on or before the date on which the Compliance Certificate with respect to the fiscal quarter in which such Permitted Acquisition occurs is due to be delivered to the Administrative Agent.</w:t>
      </w:r>
    </w:p>
    <w:p>
      <w:pPr>
        <w:spacing w:after="0" w:line="3"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6.21.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xml:space="preserve">. As promptly as possible but in any event within thirty (30) days (or such later date as may be agreed by the Administrative Agent in its sole discretion) after a Material Domestic Subsidiary is organized or acquired, or any Person becomes a Material Domestic Subsidiary pursuant to the definition thereof, or is designated by the Borrower or the Administrative Agent as a Material Domestic Subsidiary, the Borrower shall provide the Administrative Agent with written notice thereof and shall cause each such Subsidiary to deliver to the Administrative Agent a joinder to the Guaranty (in the form contemplated thereby) pursuant to which such Subsidiary agrees to be bound by the terms and provisions thereof, such Guaranty joinder to be accompanied by an updated Schedule 5.8 hereto designating such Material Domestic Subsidiary as such, appropriate corporate, limited liability company or similar resolutions, other corporate, limited liability company, or similar documentation and legal opinions, in each case in form and substance reasonably satisfactory to the Administrative Agent and its counsel, and such other documentation as the Administrative Agent may reasonably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only Wholly-Owned Subsidiaries shall be required to become a Guarantor.</w:t>
      </w:r>
    </w:p>
    <w:p>
      <w:pPr>
        <w:spacing w:after="0" w:line="11" w:lineRule="exact"/>
        <w:rPr>
          <w:sz w:val="20"/>
          <w:szCs w:val="20"/>
          <w:color w:val="auto"/>
        </w:rPr>
      </w:pPr>
    </w:p>
    <w:p>
      <w:pPr>
        <w:jc w:val="both"/>
        <w:ind w:firstLine="642"/>
        <w:spacing w:after="0" w:line="252" w:lineRule="auto"/>
        <w:rPr>
          <w:sz w:val="20"/>
          <w:szCs w:val="20"/>
          <w:color w:val="auto"/>
        </w:rPr>
      </w:pPr>
      <w:r>
        <w:rPr>
          <w:rFonts w:ascii="Times New Roman" w:cs="Times New Roman" w:eastAsia="Times New Roman" w:hAnsi="Times New Roman"/>
          <w:sz w:val="21"/>
          <w:szCs w:val="21"/>
          <w:color w:val="auto"/>
        </w:rPr>
        <w:t xml:space="preserve">6.22. </w:t>
      </w:r>
      <w:r>
        <w:rPr>
          <w:rFonts w:ascii="Times New Roman" w:cs="Times New Roman" w:eastAsia="Times New Roman" w:hAnsi="Times New Roman"/>
          <w:sz w:val="21"/>
          <w:szCs w:val="21"/>
          <w:u w:val="single" w:color="auto"/>
          <w:color w:val="auto"/>
        </w:rPr>
        <w:t>Anti-Money Laundering Compliance</w:t>
      </w:r>
      <w:r>
        <w:rPr>
          <w:rFonts w:ascii="Times New Roman" w:cs="Times New Roman" w:eastAsia="Times New Roman" w:hAnsi="Times New Roman"/>
          <w:sz w:val="21"/>
          <w:szCs w:val="21"/>
          <w:color w:val="auto"/>
        </w:rPr>
        <w:t>. The Borrower shall, and shall cause each Subsidiary to, provide such information and take such actions as are reasonably requested by the Administrative Agent or any Lender in order to assist the Administrative Agent and the Lenders in maintaining compliance with anti-money laundering Laws.</w:t>
      </w:r>
    </w:p>
    <w:p>
      <w:pPr>
        <w:spacing w:after="0" w:line="2"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6.23. </w:t>
      </w:r>
      <w:r>
        <w:rPr>
          <w:rFonts w:ascii="Times New Roman" w:cs="Times New Roman" w:eastAsia="Times New Roman" w:hAnsi="Times New Roman"/>
          <w:sz w:val="21"/>
          <w:szCs w:val="21"/>
          <w:u w:val="single" w:color="auto"/>
          <w:color w:val="auto"/>
        </w:rPr>
        <w:t>Outbound Investment Rules</w:t>
      </w:r>
      <w:r>
        <w:rPr>
          <w:rFonts w:ascii="Times New Roman" w:cs="Times New Roman" w:eastAsia="Times New Roman" w:hAnsi="Times New Roman"/>
          <w:sz w:val="21"/>
          <w:szCs w:val="21"/>
          <w:color w:val="auto"/>
        </w:rPr>
        <w:t>.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any Lender or the LC Issuer to be in violation of the Outbound Investment Rules or cause the Administrative Agent, any Lender or the LC Issuer to be legally prohibited by the Outbound Investment Rules from performing under this Agreement. As used in this Section 6.23, “U.S. Person” means any United States citizen, lawful permanent resident, entity organized under the laws of the United States or any jurisdiction within the United States, including any foreign branch of any such entity, or any person in the United States.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DEFAULTS</w:t>
      </w: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occurrence of any one or more of the following events shall constitute an Event of Default (each, an “Event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409" w:right="339" w:bottom="1440" w:gutter="0" w:footer="0" w:header="0"/>
        </w:sectPr>
      </w:pPr>
    </w:p>
    <w:bookmarkStart w:id="88" w:name="page89"/>
    <w:bookmarkEnd w:id="88"/>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7.1. Any representation or warranty made or deemed made by or on behalf of the Borrower or any of its Subsidiaries to the Lenders or the Administrative Agent under or in connection with this Agreement, any other Loan Document, any Credit Extension, or any certificate or information delivered in connection with this Agreement or any other Loan Document shall be materially false on the date made or confirmed.</w:t>
      </w:r>
    </w:p>
    <w:p>
      <w:pPr>
        <w:spacing w:after="0" w:line="161"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7.2. Nonpayment of (i) principal of any Loan when due or (ii) any Reimbursement Obligation, interest upon any Loan, any commitment fee or LC Fee, or any other obligation under any of the Loan Documents within three (3) Business Days after the same becomes due.</w:t>
      </w:r>
    </w:p>
    <w:p>
      <w:pPr>
        <w:spacing w:after="0" w:line="158"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7.3. The breach by the Borrower of any of the terms or provisions of Section 6.1 (Financial Reporting), 6.2 (Use of Proceeds), 6.3 (Notice of Material Events), 6.4 (Conduct of Business), 6.11 (Indebtedness), 6.12 (Merger), 6.13 (Sale of Assets), 6.14 (Investments), 6.15 (Acquisitions), 6.16 (Liens), 6.17 (Affiliates), 6.18 (Restricted Payments), 6.19 (Restrictive Agreements),</w:t>
      </w:r>
    </w:p>
    <w:p>
      <w:pPr>
        <w:spacing w:after="0" w:line="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6.20 (Financial Covenants), 6.21 (Further Assurances), 6.22 (Anti-Money Laundering Compliance), or 6.23 (Outbound Investment Rules).</w:t>
      </w:r>
    </w:p>
    <w:p>
      <w:pPr>
        <w:spacing w:after="0" w:line="165"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7.4. The breach by the Borrower (other than a breach which constitutes an Event of Default under another Section of this Article VII) of any of the terms or provisions of this Agreement or any other Loan Document which is not remedied within thirty</w:t>
      </w:r>
    </w:p>
    <w:p>
      <w:pPr>
        <w:spacing w:after="0" w:line="2" w:lineRule="exact"/>
        <w:rPr>
          <w:sz w:val="20"/>
          <w:szCs w:val="20"/>
          <w:color w:val="auto"/>
        </w:rPr>
      </w:pPr>
    </w:p>
    <w:p>
      <w:pPr>
        <w:ind w:right="20" w:firstLine="7"/>
        <w:spacing w:after="0" w:line="278" w:lineRule="auto"/>
        <w:tabs>
          <w:tab w:leader="none" w:pos="42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earlier of (i) the Borrower becoming aware of any such breach and (ii) the Administrative Agent notifying the Borrower of any such breach.</w:t>
      </w:r>
    </w:p>
    <w:p>
      <w:pPr>
        <w:spacing w:after="0" w:line="152"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7.5. (i) Failure of the Borrower or any of its Subsidiaries to pay when due any payment (whether of principal, interest or any other amount) in respect of any Material Indebtedness, (ii) the default by the Borrower or any of its Subsidiaries in the performance (beyond the applicable grace period with respect thereto, if any) of any term, provision or condition contained in any Material Indebtedness Agreement, or any other event shall occur or condition exist, the effect of which default, event or condition under this clause (ii) is to cause, or to permit the holder(s) of such Material Indebtedness or the lender(s) under any Material Indebtedness Agreement to cause, any portion of such Material Indebtedness to become due prior to its stated maturity or any commitment to lend under any Material Indebtedness Agreement to be terminated prior to its stated expiration date, or (iii) any portion of Material Indebtedness of the Borrower or any of its Subsidiaries shall be declared to be due and payable or required to be prepaid or repurchased (other than by a regularly scheduled payment) prior to the stated maturity thereof.</w:t>
      </w:r>
    </w:p>
    <w:p>
      <w:pPr>
        <w:spacing w:after="0" w:line="173"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7.6. The Borrower or any of its Material Domestic Subsidiaries shall (i) have an order for relief entered with respect to it under the Federal bankruptcy laws as now or hereafter in effect, (ii) make an assignment for the benefit of creditors, (iii) apply for, seek, consent to, or acquiesce in, the appointment of a receiver, custodian, trustee, examiner, liquidator or similar official for it or any Substantial Portion of its Property, (iv) institute any proceeding seeking an order for relief under the Federal bankruptcy laws as now or hereafter in effect or seeking to adjudicate it a bankrupt or insolvent, or seeking dissolution, winding up, liquidation, reorganization, arrangement, adjustment or composition of it or its debts under any Law relating to bankruptcy, insolvency or reorganization or relief of debtors, (v) take any corporate,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409" w:right="339" w:bottom="1440" w:gutter="0" w:footer="0" w:header="0"/>
        </w:sectPr>
      </w:pPr>
    </w:p>
    <w:bookmarkStart w:id="89" w:name="page90"/>
    <w:bookmarkEnd w:id="89"/>
    <w:p>
      <w:pPr>
        <w:jc w:val="both"/>
        <w:spacing w:after="0" w:line="271" w:lineRule="auto"/>
        <w:rPr>
          <w:sz w:val="20"/>
          <w:szCs w:val="20"/>
          <w:color w:val="auto"/>
        </w:rPr>
      </w:pPr>
      <w:r>
        <w:rPr>
          <w:rFonts w:ascii="Times New Roman" w:cs="Times New Roman" w:eastAsia="Times New Roman" w:hAnsi="Times New Roman"/>
          <w:sz w:val="21"/>
          <w:szCs w:val="21"/>
          <w:color w:val="auto"/>
        </w:rPr>
        <w:t>liability company or partnership action to authorize or effect any of the foregoing actions set forth in this Section 7.6, (vi) fail to contest in good faith any appointment or proceeding described in Section 7.7, or (vii) the Borrower or any of its Subsidiaries shall not pay, or admit in writing its inability to pay, its debts generally as they become due.</w:t>
      </w:r>
    </w:p>
    <w:p>
      <w:pPr>
        <w:spacing w:after="0" w:line="172" w:lineRule="exact"/>
        <w:rPr>
          <w:sz w:val="20"/>
          <w:szCs w:val="20"/>
          <w:color w:val="auto"/>
        </w:rPr>
      </w:pPr>
    </w:p>
    <w:p>
      <w:pPr>
        <w:jc w:val="both"/>
        <w:ind w:firstLine="642"/>
        <w:spacing w:after="0" w:line="261" w:lineRule="auto"/>
        <w:rPr>
          <w:sz w:val="20"/>
          <w:szCs w:val="20"/>
          <w:color w:val="auto"/>
        </w:rPr>
      </w:pPr>
      <w:r>
        <w:rPr>
          <w:rFonts w:ascii="Times New Roman" w:cs="Times New Roman" w:eastAsia="Times New Roman" w:hAnsi="Times New Roman"/>
          <w:sz w:val="21"/>
          <w:szCs w:val="21"/>
          <w:color w:val="auto"/>
        </w:rPr>
        <w:t>7.7. Without the application, approval or consent of the Borrower or any of its Material Domestic Subsidiaries, a receiver, trustee, examiner, liquidator or similar official shall be appointed for the Borrower or any of its Material Domestic Subsidiaries or any Substantial Portion of its Property, or a proceeding described in Section 7.6(iv) shall be instituted against the Borrower or any of its Material Domestic Subsidiaries and such appointment continues undischarged or such proceeding continues undismissed or unstayed for a period of sixty (60) consecutive days.</w:t>
      </w:r>
    </w:p>
    <w:p>
      <w:pPr>
        <w:spacing w:after="0" w:line="185" w:lineRule="exact"/>
        <w:rPr>
          <w:sz w:val="20"/>
          <w:szCs w:val="20"/>
          <w:color w:val="auto"/>
        </w:rPr>
      </w:pPr>
    </w:p>
    <w:p>
      <w:pPr>
        <w:jc w:val="both"/>
        <w:ind w:firstLine="642"/>
        <w:spacing w:after="0" w:line="261" w:lineRule="auto"/>
        <w:rPr>
          <w:sz w:val="20"/>
          <w:szCs w:val="20"/>
          <w:color w:val="auto"/>
        </w:rPr>
      </w:pPr>
      <w:r>
        <w:rPr>
          <w:rFonts w:ascii="Times New Roman" w:cs="Times New Roman" w:eastAsia="Times New Roman" w:hAnsi="Times New Roman"/>
          <w:sz w:val="21"/>
          <w:szCs w:val="21"/>
          <w:color w:val="auto"/>
        </w:rPr>
        <w:t>7.8. Any court, government or governmental agency shall without payment of compensation equal to the fair market value of such Property condemn, seize or otherwise appropriate, or take custody or control of, all or any portion of the Property of the Borrower and its Subsidiaries which, when taken together with all other Property of the Borrower and its Subsidiaries so condemned, seized, appropriated, or taken custody or control of, during the twelve-month period ending with the month in which any such action occurs, constitutes a Substantial Portion.</w:t>
      </w:r>
    </w:p>
    <w:p>
      <w:pPr>
        <w:spacing w:after="0" w:line="171" w:lineRule="exact"/>
        <w:rPr>
          <w:sz w:val="20"/>
          <w:szCs w:val="20"/>
          <w:color w:val="auto"/>
        </w:rPr>
      </w:pPr>
    </w:p>
    <w:p>
      <w:pPr>
        <w:jc w:val="both"/>
        <w:ind w:firstLine="642"/>
        <w:spacing w:after="0" w:line="262" w:lineRule="auto"/>
        <w:rPr>
          <w:sz w:val="20"/>
          <w:szCs w:val="20"/>
          <w:color w:val="auto"/>
        </w:rPr>
      </w:pPr>
      <w:r>
        <w:rPr>
          <w:rFonts w:ascii="Times New Roman" w:cs="Times New Roman" w:eastAsia="Times New Roman" w:hAnsi="Times New Roman"/>
          <w:sz w:val="21"/>
          <w:szCs w:val="21"/>
          <w:color w:val="auto"/>
        </w:rPr>
        <w:t>7.9. The Borrower or any of its Subsidiaries shall fail within thirty (30) days to pay, obtain a stay with respect to, or otherwise discharge one or more (i) judgments or orders for the payment of money in excess of $50,000,000 (or the equivalent thereof in currencies other than Dollars) in the aggregate, or (ii) nonmonetary judgments or orders which, individually or in the aggregate, could reasonably be expected to have a Material Adverse Effect, which judgment(s), in any such case, is/are not stayed on appeal or otherwise being appropriately contested in good faith, or any action shall be legally taken by a judgment creditor to attach or levy upon any assets of the Borrower or any of its Subsidiaries to enforce any such judgment.</w:t>
      </w:r>
    </w:p>
    <w:p>
      <w:pPr>
        <w:spacing w:after="0" w:line="184" w:lineRule="exact"/>
        <w:rPr>
          <w:sz w:val="20"/>
          <w:szCs w:val="20"/>
          <w:color w:val="auto"/>
        </w:rPr>
      </w:pPr>
    </w:p>
    <w:p>
      <w:pPr>
        <w:jc w:val="both"/>
        <w:ind w:firstLine="642"/>
        <w:spacing w:after="0" w:line="261" w:lineRule="auto"/>
        <w:rPr>
          <w:sz w:val="20"/>
          <w:szCs w:val="20"/>
          <w:color w:val="auto"/>
        </w:rPr>
      </w:pPr>
      <w:r>
        <w:rPr>
          <w:rFonts w:ascii="Times New Roman" w:cs="Times New Roman" w:eastAsia="Times New Roman" w:hAnsi="Times New Roman"/>
          <w:sz w:val="21"/>
          <w:szCs w:val="21"/>
          <w:color w:val="auto"/>
        </w:rPr>
        <w:t>7.10. (i) With respect to a Plan, the Borrower or an ERISA Affiliate is subject to a Lien pursuant to Section 430(k) of the Code or Section 302(c) of ERISA or Title IV of ERISA other than such Liens as would not be individually or in the aggregate expected to result in a Material Adverse Effect, or (ii) an ERISA Event shall have occurred that, in the opinion of the Required Lenders, when taken together with all other ERISA Events that have occurred, could reasonably be expected to result in a Material Adverse Effect.</w:t>
      </w:r>
    </w:p>
    <w:p>
      <w:pPr>
        <w:spacing w:after="0" w:line="185"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7.11. Nonpayment by the Borrower or any Subsidiary of any Lender-Provided Swap when due or the breach by the Borrower or any Subsidiary of any term, provision or condition contained in any Lender-Provided Swap, which default or breach continues beyond any period of grace therein provided.</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1"/>
          <w:szCs w:val="21"/>
          <w:color w:val="auto"/>
        </w:rPr>
        <w:t>7.12.</w:t>
        <w:tab/>
        <w:t>Any Change in Control shall occur.</w:t>
      </w:r>
    </w:p>
    <w:p>
      <w:pPr>
        <w:spacing w:after="0" w:line="227"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7.13. The occurrence of any “default”, as defined in any Loan Document (other than this Agreement) or the breach of any of the terms or provisions of any Loan Document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40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1"/>
          <w:szCs w:val="21"/>
          <w:color w:val="auto"/>
        </w:rPr>
        <w:t>than this Agreement), which default or breach continues beyond any period of grace therein provided.</w:t>
      </w:r>
    </w:p>
    <w:p>
      <w:pPr>
        <w:spacing w:after="0" w:line="227"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7.14. Any Loan Document shall fail to remain in full force or effect or any action shall be taken to discontinue or to assert the invalidity or unenforceability of any Guaranty, or any Guarantor shall fail to comply with any of the terms or provisions of any Guaranty to which it is a party, any Guarantor repudiates or purports to revoke its Guaranty or any Guarantor shall otherwise deny that it has any further liability under any Guaranty to which it is a party, or shall give notice to such effect.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ACCELERATION, WAIVERS, AMENDMENTS AND REMEDIES</w:t>
      </w:r>
    </w:p>
    <w:p>
      <w:pPr>
        <w:spacing w:after="0" w:line="231"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Acceleration; Remedies</w:t>
      </w:r>
      <w:r>
        <w:rPr>
          <w:rFonts w:ascii="Times New Roman" w:cs="Times New Roman" w:eastAsia="Times New Roman" w:hAnsi="Times New Roman"/>
          <w:sz w:val="21"/>
          <w:szCs w:val="21"/>
          <w:color w:val="auto"/>
        </w:rPr>
        <w:t>. (a) If any Event of Default described in Section 7.6 or 7.7 occurs with respect to the Borrower, the obligations of the Lenders to make Loans hereunder and the obligation and power of the LC Issuer to issue Facility LCs shall automatically terminate and the Obligations under this Agreement and the other Loan Documents shall immediately become due and payable without any election or action on the part of the Administrative Agent, the LC Issuer or any Lender and the Borrower will be and become thereby unconditionally obligated, without any further notice, act or demand, to pay to the Administrative Agent an amount in immediately available funds, which funds shall be held in the Facility LC Collateral Account, equal to the difference of (x) the amount of LC Obligations at such time, less (y) the amount on deposit in the Facility LC Collateral Account at such time which is free and clear of all rights and claims of third parties and has not been applied against the Obligations under this Agreement and the other Loan Documents (such difference, the “Collateral Shortfall Amount”). If any other Event of Default occurs, the Administrative Agent may, and at the request of the Required Lenders shall, (1) terminate or suspend the obligations of the Lenders to make Loans hereunder and the obligation and power of the LC Issuer to issue Facility LCs, or declare the Obligations under this Agreement and the other Loan Documents to be due and payable, or both, whereupon the Obligations under this Agreement and the other Loan Documents shall become immediately due and payable, without presentment, demand, protest or notice of any kind, all of which the Borrower hereby expressly waives, and (2) upon notice to the Borrower and in addition to the continuing right to demand payment of all amounts payable under this Agreement, make demand on the Borrower to pay, and the Borrower will, forthwith upon such demand and without any further notice or act, pay to the Administrative Agent the Collateral Shortfall Amount, which funds shall be deposited in the Facility LC Collateral Account.</w:t>
      </w:r>
    </w:p>
    <w:p>
      <w:pPr>
        <w:spacing w:after="0" w:line="6" w:lineRule="exact"/>
        <w:rPr>
          <w:sz w:val="20"/>
          <w:szCs w:val="20"/>
          <w:color w:val="auto"/>
        </w:rPr>
      </w:pPr>
    </w:p>
    <w:p>
      <w:pPr>
        <w:jc w:val="both"/>
        <w:ind w:firstLine="1291"/>
        <w:spacing w:after="0" w:line="261" w:lineRule="auto"/>
        <w:tabs>
          <w:tab w:leader="none" w:pos="191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while any Event of Default is continuing, the Administrative Agent determines that the Collateral Shortfall Amount at such time is greater than zero, the Administrative Agent may make demand on the Borrower to pay, and the Borrower will, forthwith upon such demand and without any further notice or act, pay to the Administrative Agent the Collateral Shortfall Amount, which funds shall be deposited in the Facility LC Collateral Account.</w:t>
      </w:r>
    </w:p>
    <w:p>
      <w:pPr>
        <w:spacing w:after="0" w:line="61" w:lineRule="exact"/>
        <w:rPr>
          <w:rFonts w:ascii="Times New Roman" w:cs="Times New Roman" w:eastAsia="Times New Roman" w:hAnsi="Times New Roman"/>
          <w:sz w:val="21"/>
          <w:szCs w:val="21"/>
          <w:color w:val="auto"/>
        </w:rPr>
      </w:pPr>
    </w:p>
    <w:p>
      <w:pPr>
        <w:ind w:firstLine="1291"/>
        <w:spacing w:after="0" w:line="289" w:lineRule="auto"/>
        <w:tabs>
          <w:tab w:leader="none" w:pos="178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at any time or from time to time after funds are deposited in the Facility LC Collateral Account, apply such funds to the payment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1240"/>
          </w:cols>
          <w:pgMar w:left="320" w:top="1409" w:right="339" w:bottom="1440" w:gutter="0" w:footer="0" w:header="0"/>
        </w:sectPr>
      </w:pPr>
    </w:p>
    <w:bookmarkStart w:id="91" w:name="page92"/>
    <w:bookmarkEnd w:id="91"/>
    <w:p>
      <w:pPr>
        <w:spacing w:after="0" w:line="289" w:lineRule="auto"/>
        <w:rPr>
          <w:sz w:val="20"/>
          <w:szCs w:val="20"/>
          <w:color w:val="auto"/>
        </w:rPr>
      </w:pPr>
      <w:r>
        <w:rPr>
          <w:rFonts w:ascii="Times New Roman" w:cs="Times New Roman" w:eastAsia="Times New Roman" w:hAnsi="Times New Roman"/>
          <w:sz w:val="21"/>
          <w:szCs w:val="21"/>
          <w:color w:val="auto"/>
        </w:rPr>
        <w:t>Obligations under this Agreement and the other Loan Documents and any other amounts as shall from time to time have become due and payable by the Borrower to the Lenders or the LC Issuer under the Loan Documents, as provided in Section 8.2.</w:t>
      </w:r>
    </w:p>
    <w:p>
      <w:pPr>
        <w:spacing w:after="0" w:line="34" w:lineRule="exact"/>
        <w:rPr>
          <w:sz w:val="20"/>
          <w:szCs w:val="20"/>
          <w:color w:val="auto"/>
        </w:rPr>
      </w:pPr>
    </w:p>
    <w:p>
      <w:pPr>
        <w:jc w:val="both"/>
        <w:ind w:firstLine="1291"/>
        <w:spacing w:after="0" w:line="265" w:lineRule="auto"/>
        <w:tabs>
          <w:tab w:leader="none" w:pos="174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while any Event of Default is continuing, neither the Borrower nor any Person claiming on behalf of or through the Borrower shall have any right to withdraw any of the funds held in the Facility LC Collateral Account. After all of the Obligations under this Agreement and the other Loan Documents have been paid in full and the Aggregate Commitment has been terminated, any funds remaining in the Facility LC Collateral Account shall be returned by the Administrative Agent to the Borrower or paid to whomever may be legally entitled thereto at such time.</w:t>
      </w:r>
    </w:p>
    <w:p>
      <w:pPr>
        <w:spacing w:after="0" w:line="57" w:lineRule="exact"/>
        <w:rPr>
          <w:rFonts w:ascii="Times New Roman" w:cs="Times New Roman" w:eastAsia="Times New Roman" w:hAnsi="Times New Roman"/>
          <w:sz w:val="21"/>
          <w:szCs w:val="21"/>
          <w:color w:val="auto"/>
        </w:rPr>
      </w:pPr>
    </w:p>
    <w:p>
      <w:pPr>
        <w:jc w:val="both"/>
        <w:ind w:firstLine="1291"/>
        <w:spacing w:after="0" w:line="262" w:lineRule="auto"/>
        <w:tabs>
          <w:tab w:leader="none" w:pos="178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within thirty (30) days after acceleration of the maturity of the Obligations under this Agreement and the other Loan Documents or termination of the obligations of the Lenders to make Loans and the obligation and power of the LC Issuer to issue Facility LCs hereunder as a result of any Event of Default (other than any Event of Default as described in Section 7.6 or 7.7 with respect to the Borrower) and before any judgment or decree for the payment of the Obligations due under this Agreement and the other Loan Documents shall have been obtained or entered, the Required Lenders (in their sole discretion) shall so direct, the Administrative Agent shall, by notice to the Borrower, rescind and annul such acceleration and/or termination.</w:t>
      </w:r>
    </w:p>
    <w:p>
      <w:pPr>
        <w:spacing w:after="0" w:line="63" w:lineRule="exact"/>
        <w:rPr>
          <w:rFonts w:ascii="Times New Roman" w:cs="Times New Roman" w:eastAsia="Times New Roman" w:hAnsi="Times New Roman"/>
          <w:sz w:val="21"/>
          <w:szCs w:val="21"/>
          <w:color w:val="auto"/>
        </w:rPr>
      </w:pPr>
    </w:p>
    <w:p>
      <w:pPr>
        <w:jc w:val="both"/>
        <w:ind w:firstLine="1291"/>
        <w:spacing w:after="0" w:line="277" w:lineRule="auto"/>
        <w:tabs>
          <w:tab w:leader="none" w:pos="1741"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and during the continuation of any Event of Default, the Administrative Agent may, and at the request of the Required Lenders shall, exercise all rights and remedies under the Loan Documents and enforce all other rights and remedies under applicable Law.</w:t>
      </w:r>
    </w:p>
    <w:p>
      <w:pPr>
        <w:spacing w:after="0" w:line="47"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Application of Funds</w:t>
      </w:r>
      <w:r>
        <w:rPr>
          <w:rFonts w:ascii="Times New Roman" w:cs="Times New Roman" w:eastAsia="Times New Roman" w:hAnsi="Times New Roman"/>
          <w:sz w:val="21"/>
          <w:szCs w:val="21"/>
          <w:color w:val="auto"/>
        </w:rPr>
        <w:t>. After the exercise of remedies provided for in Section 8.1 (or after the Obligations under this Agreement and the other Loan Documents have automatically become immediately due and payable as set forth in the first sentence of Section 8.1(a)), any amounts received by the Administrative Agent on account of the Obligations shall be applied by the Administrative Agent in the following order:</w:t>
      </w:r>
    </w:p>
    <w:p>
      <w:pPr>
        <w:spacing w:after="0" w:line="1" w:lineRule="exact"/>
        <w:rPr>
          <w:sz w:val="20"/>
          <w:szCs w:val="20"/>
          <w:color w:val="auto"/>
        </w:rPr>
      </w:pPr>
    </w:p>
    <w:p>
      <w:pPr>
        <w:jc w:val="both"/>
        <w:ind w:firstLine="1291"/>
        <w:spacing w:after="0" w:line="270" w:lineRule="auto"/>
        <w:tabs>
          <w:tab w:leader="none" w:pos="188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to payment of fees, indemnities, reasonable, out-of-pocket expenses and other amounts (including reasonable fees, charges and disbursements of counsel to the Administrative Agent and amounts payable under Article III) payable to the Administrative Agent in its capacity as such;</w:t>
      </w:r>
    </w:p>
    <w:p>
      <w:pPr>
        <w:jc w:val="both"/>
        <w:ind w:firstLine="1291"/>
        <w:spacing w:after="0" w:line="274" w:lineRule="auto"/>
        <w:tabs>
          <w:tab w:leader="none" w:pos="181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to payment of fees, indemnities and other reimbursable expenses (other than principal, interest, LC Fees and commitment fees) payable to the Lenders and the LC Issuer (including reasonable fees, charges and disbursements of counsel to the respective Lenders and the LC Issuer as required by Section 9.6 and amounts payable under Article III);</w:t>
      </w:r>
    </w:p>
    <w:p>
      <w:pPr>
        <w:spacing w:after="0" w:line="2" w:lineRule="exact"/>
        <w:rPr>
          <w:rFonts w:ascii="Times New Roman" w:cs="Times New Roman" w:eastAsia="Times New Roman" w:hAnsi="Times New Roman"/>
          <w:sz w:val="21"/>
          <w:szCs w:val="21"/>
          <w:color w:val="auto"/>
        </w:rPr>
      </w:pPr>
    </w:p>
    <w:p>
      <w:pPr>
        <w:jc w:val="both"/>
        <w:ind w:firstLine="1291"/>
        <w:spacing w:after="0" w:line="270" w:lineRule="auto"/>
        <w:tabs>
          <w:tab w:leader="none" w:pos="196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to payment of accrued and unpaid LC Fees, commitment fees and interest on the Loans and Reimbursement Obligations, ratably among the Lenders and the LC Issuer in respect of the respective amounts described in this Section 8.2(c) payable to them;</w:t>
      </w:r>
    </w:p>
    <w:p>
      <w:pPr>
        <w:ind w:firstLine="1291"/>
        <w:spacing w:after="0" w:line="302" w:lineRule="auto"/>
        <w:tabs>
          <w:tab w:leader="none" w:pos="176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to payment of all Obligations ratably among the Lenders, the LC Issuer and any Affiliate of any of the foregoing, including with respect to Lender-Provided Swaps and Cash 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1240"/>
          </w:cols>
          <w:pgMar w:left="320" w:top="1409" w:right="339" w:bottom="1440" w:gutter="0" w:footer="0" w:header="0"/>
        </w:sectPr>
      </w:pPr>
    </w:p>
    <w:bookmarkStart w:id="92" w:name="page93"/>
    <w:bookmarkEnd w:id="92"/>
    <w:p>
      <w:pPr>
        <w:ind w:right="20" w:firstLine="1291"/>
        <w:spacing w:after="0" w:line="279" w:lineRule="auto"/>
        <w:tabs>
          <w:tab w:leader="none" w:pos="176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fifth, to the Administrative Agent for deposit to the Facility LC Collateral Account in an amount equal to the Collateral Shortfall Amount (as defined in Section 8.1(a)), if any; and</w:t>
      </w:r>
    </w:p>
    <w:p>
      <w:pPr>
        <w:ind w:left="1720" w:hanging="429"/>
        <w:spacing w:after="0"/>
        <w:tabs>
          <w:tab w:leader="none" w:pos="17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last, the balance, if any, to the Borrower or as otherwise required by Law;</w:t>
      </w:r>
    </w:p>
    <w:p>
      <w:pPr>
        <w:spacing w:after="0" w:line="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notwithstanding anything to the contrary set forth above, Excluded Swap Obligations with respect to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Guarantor shall not be paid with amounts received from such Guarantor or its assets, but appropriate adjustments shall be made with respect to payments from other Loan Parties to preserve the allocation to Obligations otherwise set forth above in this Section 8.2.</w:t>
      </w:r>
    </w:p>
    <w:p>
      <w:pPr>
        <w:spacing w:after="0" w:line="2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Notwithstanding the foregoing, Obligations arising under Lender-Provided Swaps and Cash Management Services provided by a Lender or Affiliate of a Lender other than U.S. Bank or one of its Affiliates shall be excluded from the application described above if the Administrative Agent has not received written notice thereof, together with such supporting documentation as the Administrative Agent may reasonably request, from the applicable Lender (or Affiliate of a Lender) in accordance with the definition of “Obligations”. Each Affiliate of a Lender that has given the notice contemplated by the preceding sentence shall, by such notice, be deemed to have acknowledged and accepted the appointment of the Administrative Agent pursuant to the terms of Article X for itself and its Affiliates as if a “Lender” party hereto.</w:t>
      </w:r>
    </w:p>
    <w:p>
      <w:pPr>
        <w:spacing w:after="0" w:line="81" w:lineRule="exact"/>
        <w:rPr>
          <w:sz w:val="20"/>
          <w:szCs w:val="20"/>
          <w:color w:val="auto"/>
        </w:rPr>
      </w:pPr>
    </w:p>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xml:space="preserve">. Except in connection with an Extension under Section 2.24 or an increase in the Aggregate Commitment under Section 2.25 or other Incremental Increase under Section 2.25 (which, in each case, shall be governed by such Section), subject to the provisions of this Section 8.3, the Required Lenders (or the Administrative Agent with the consent in writing of the Required Lenders) and the Borrower may enter into agreements supplemental hereto for the purpose of adding or modifying any provisions to this Agreement, the Guaranty or changing in any manner the rights of the Lenders or the Borrower hereunder or thereunder or waiving any Default or Event of Default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such amendment, modification, waiver or other supplemental agreement or action shall:</w:t>
      </w:r>
    </w:p>
    <w:p>
      <w:pPr>
        <w:spacing w:after="0" w:line="14" w:lineRule="exact"/>
        <w:rPr>
          <w:sz w:val="20"/>
          <w:szCs w:val="20"/>
          <w:color w:val="auto"/>
        </w:rPr>
      </w:pPr>
    </w:p>
    <w:p>
      <w:pPr>
        <w:jc w:val="both"/>
        <w:ind w:firstLine="1291"/>
        <w:spacing w:after="0" w:line="258" w:lineRule="auto"/>
        <w:tabs>
          <w:tab w:leader="none" w:pos="176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each Lender directly affected thereby, extend the final maturity of any Loan, or extend the expiry date of any Facility LC to a date after the Facility Termination Date or postpone any regularly scheduled payment of principal of any Loan (excluding mandatory prepayments pursuant to Section 2.7) or forgive all or any portion of the principal amount thereof or any Reimbursement Obligation related thereto, or reduce the rate or amount, or extend the time of payment, of interest or fees thereon or Reimbursement Obligations related thereto or any other amounts payable to a Lender or increase the amount of the Commitment of such Lender hereunder (provided that only the consent of the Required Lenders shall be necessary</w:t>
      </w:r>
    </w:p>
    <w:p>
      <w:pPr>
        <w:spacing w:after="0" w:line="4" w:lineRule="exact"/>
        <w:rPr>
          <w:rFonts w:ascii="Times New Roman" w:cs="Times New Roman" w:eastAsia="Times New Roman" w:hAnsi="Times New Roman"/>
          <w:sz w:val="21"/>
          <w:szCs w:val="21"/>
          <w:color w:val="auto"/>
        </w:rPr>
      </w:pPr>
    </w:p>
    <w:p>
      <w:pPr>
        <w:jc w:val="both"/>
        <w:ind w:firstLine="7"/>
        <w:spacing w:after="0" w:line="259" w:lineRule="auto"/>
        <w:tabs>
          <w:tab w:leader="none" w:pos="30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amend Section 2.11 or to waive the obligation of Borrower to pay default interest as set forth in Section 2.11 or (y) to amend any financial covenant (or any defined term directly or indirectly used therein), even if the effect of such amendment would be to reduce the rate of interest on any Loan or other Obligation or to reduce any fee payable hereunder);</w:t>
      </w:r>
    </w:p>
    <w:p>
      <w:pPr>
        <w:spacing w:after="0" w:line="23" w:lineRule="exact"/>
        <w:rPr>
          <w:rFonts w:ascii="Times New Roman" w:cs="Times New Roman" w:eastAsia="Times New Roman" w:hAnsi="Times New Roman"/>
          <w:sz w:val="21"/>
          <w:szCs w:val="21"/>
          <w:color w:val="auto"/>
        </w:rPr>
      </w:pPr>
    </w:p>
    <w:p>
      <w:pPr>
        <w:jc w:val="both"/>
        <w:ind w:firstLine="1291"/>
        <w:spacing w:after="0" w:line="271" w:lineRule="auto"/>
        <w:tabs>
          <w:tab w:leader="none" w:pos="184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all of the Lenders, amend the definition of Required Lenders, or amend any of the provisions hereof specifying the number or percentage of Lenders required to waive, amend or modify any rights hereunder or make any determination or grant any consent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409" w:right="339" w:bottom="1440" w:gutter="0" w:footer="0" w:header="0"/>
        </w:sectPr>
      </w:pPr>
    </w:p>
    <w:bookmarkStart w:id="93" w:name="page94"/>
    <w:bookmarkEnd w:id="93"/>
    <w:p>
      <w:pPr>
        <w:jc w:val="both"/>
        <w:ind w:firstLine="1291"/>
        <w:spacing w:after="0" w:line="265" w:lineRule="auto"/>
        <w:tabs>
          <w:tab w:leader="none" w:pos="177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the consent of all of the Lenders, amend Section 2.7 (with respect to the ratable sharing of payments and commitment reductions contemplated thereby), Section 8.2, this Section 8.3 or Section 11.2;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limitation in respect of Section 11.2 shall not prohibit each Lender directly affected thereby from consenting to the extension of the final maturity date of its Loans or expiry date of its Facility LCs beyond the Facility Termination Date as contemplated by Section 8.3(a) above.</w:t>
      </w:r>
    </w:p>
    <w:p>
      <w:pPr>
        <w:spacing w:after="0" w:line="4" w:lineRule="exact"/>
        <w:rPr>
          <w:rFonts w:ascii="Times New Roman" w:cs="Times New Roman" w:eastAsia="Times New Roman" w:hAnsi="Times New Roman"/>
          <w:sz w:val="21"/>
          <w:szCs w:val="21"/>
          <w:color w:val="auto"/>
        </w:rPr>
      </w:pPr>
    </w:p>
    <w:p>
      <w:pPr>
        <w:jc w:val="both"/>
        <w:ind w:firstLine="1291"/>
        <w:spacing w:after="0" w:line="271" w:lineRule="auto"/>
        <w:tabs>
          <w:tab w:leader="none" w:pos="178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all of the Lenders, release all or substantially all of the Guarantors of the Obligations, release the Borrower from its duties and obligations hereunder (including, without limitation, the payment of all Obligations when due and payable), or permit the Borrower to assign or transfer any of its rights, duties and obligations hereunder.</w:t>
      </w:r>
    </w:p>
    <w:p>
      <w:pPr>
        <w:spacing w:after="0" w:line="11" w:lineRule="exact"/>
        <w:rPr>
          <w:rFonts w:ascii="Times New Roman" w:cs="Times New Roman" w:eastAsia="Times New Roman" w:hAnsi="Times New Roman"/>
          <w:sz w:val="21"/>
          <w:szCs w:val="21"/>
          <w:color w:val="auto"/>
        </w:rPr>
      </w:pPr>
    </w:p>
    <w:p>
      <w:pPr>
        <w:ind w:firstLine="1291"/>
        <w:spacing w:after="0" w:line="279" w:lineRule="auto"/>
        <w:tabs>
          <w:tab w:leader="none" w:pos="177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all of the Lenders, subordinate, or have the effect of subordinating, any payment right in respect of the Obligations to any other Indebtedness.</w:t>
      </w: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No amendment of any provision of this Agreement relating to the Administrative Agent shall be effective without the written consent of the Administrative Agent, and no amendment of any provision relating to the LC Issuer shall be effective without the written consent of the LC Issuer. No amendment to any provision of this Agreement relating to the Swing Line Lender or any Swing Line Loans shall be effective without the written consent of the Swing Line Lender. The Administrative Agent may</w:t>
      </w:r>
    </w:p>
    <w:p>
      <w:pPr>
        <w:spacing w:after="0" w:line="3" w:lineRule="exact"/>
        <w:rPr>
          <w:sz w:val="20"/>
          <w:szCs w:val="20"/>
          <w:color w:val="auto"/>
        </w:rPr>
      </w:pPr>
    </w:p>
    <w:p>
      <w:pPr>
        <w:jc w:val="both"/>
        <w:ind w:firstLine="7"/>
        <w:spacing w:after="0" w:line="261" w:lineRule="auto"/>
        <w:tabs>
          <w:tab w:leader="none" w:pos="27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 payment of the fee required under Section 12.3(c) without obtaining the consent of any other party to this Agreement. Notwithstanding anything to the contrary herein, the Administrative Agent may, with the consent of the Borrower only, amend, modify or supplement this Agreement or any of the other Loan Documents to cure any ambiguity, omission, mistake, defect or inconsistency of a technical, administrative or immaterial nature, as determined in good faith by the Administrative Agent.</w:t>
      </w:r>
    </w:p>
    <w:p>
      <w:pPr>
        <w:spacing w:after="0" w:line="62"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Preservation of Rights</w:t>
      </w:r>
      <w:r>
        <w:rPr>
          <w:rFonts w:ascii="Times New Roman" w:cs="Times New Roman" w:eastAsia="Times New Roman" w:hAnsi="Times New Roman"/>
          <w:sz w:val="21"/>
          <w:szCs w:val="21"/>
          <w:color w:val="auto"/>
        </w:rPr>
        <w:t>. No delay or omission of the Lenders, the LC Issuer or the Administrative Agent to exercise any right under the Loan Documents shall impair such right or be construed to be a waiver of any Event of Default or an acquiescence therein, and the making of a Credit Extension notwithstanding the existence of an Event of Default or the inability of the Borrower to satisfy the conditions precedent to such Credit Extension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Section 8.3, and then only to the extent in such writing specifically set forth. All remedies contained in the Loan Documents or by Law afforded shall be cumulative and all shall be available to the Administrative Agent, the LC Issuer and the Lenders until the Obligations have been paid in full.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GENERAL PROVISIONS</w:t>
      </w:r>
    </w:p>
    <w:p>
      <w:pPr>
        <w:spacing w:after="0" w:line="231" w:lineRule="exact"/>
        <w:rPr>
          <w:sz w:val="20"/>
          <w:szCs w:val="20"/>
          <w:color w:val="auto"/>
        </w:rPr>
      </w:pPr>
    </w:p>
    <w:p>
      <w:pPr>
        <w:jc w:val="both"/>
        <w:ind w:firstLine="642"/>
        <w:spacing w:after="0" w:line="302"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Survival of Representations</w:t>
      </w:r>
      <w:r>
        <w:rPr>
          <w:rFonts w:ascii="Times New Roman" w:cs="Times New Roman" w:eastAsia="Times New Roman" w:hAnsi="Times New Roman"/>
          <w:sz w:val="21"/>
          <w:szCs w:val="21"/>
          <w:color w:val="auto"/>
        </w:rPr>
        <w:t>. All representations and warranties of the Borrower contained in this Agreement shall survive the making of the Credit Extensions herein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409" w:right="339" w:bottom="1440" w:gutter="0" w:footer="0" w:header="0"/>
        </w:sectPr>
      </w:pPr>
    </w:p>
    <w:bookmarkStart w:id="94" w:name="page95"/>
    <w:bookmarkEnd w:id="94"/>
    <w:p>
      <w:pPr>
        <w:jc w:val="both"/>
        <w:ind w:firstLine="642"/>
        <w:spacing w:after="0" w:line="260"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Governmental Regulation</w:t>
      </w:r>
      <w:r>
        <w:rPr>
          <w:rFonts w:ascii="Times New Roman" w:cs="Times New Roman" w:eastAsia="Times New Roman" w:hAnsi="Times New Roman"/>
          <w:sz w:val="21"/>
          <w:szCs w:val="21"/>
          <w:color w:val="auto"/>
        </w:rPr>
        <w:t>. Anything contained in this Agreement to the contrary notwithstanding, neither the LC Issuer nor any Lender shall be obligated to extend credit to the Borrower in violation of any limitation or prohibition provided by any applicable statute or regulation.</w:t>
      </w:r>
    </w:p>
    <w:p>
      <w:pPr>
        <w:spacing w:after="0" w:line="2" w:lineRule="exact"/>
        <w:rPr>
          <w:sz w:val="20"/>
          <w:szCs w:val="20"/>
          <w:color w:val="auto"/>
        </w:rPr>
      </w:pPr>
    </w:p>
    <w:p>
      <w:pPr>
        <w:jc w:val="both"/>
        <w:ind w:right="20" w:firstLine="642"/>
        <w:spacing w:after="0" w:line="258"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Section headings in the Loan Documents are for convenience of reference only, and shall not govern the interpretation of any of the provisions of the Loan Documents.</w:t>
      </w:r>
    </w:p>
    <w:p>
      <w:pPr>
        <w:spacing w:after="0" w:line="2"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Loan Documents embody the entire agreement and understanding among the Borrower, the Administrative Agent, the LC Issuer and the Lenders and supersede all prior agreements and understandings among the Borrower, the Administrative Agent, the LC Issuer and the Lenders relating to the subject matter thereof other than those contained in the Fee Letters which shall survive and remain in full force and effect during the term of this Agreement.</w:t>
      </w:r>
    </w:p>
    <w:p>
      <w:pPr>
        <w:spacing w:after="0" w:line="3"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Several Obligations; Benefits of this Agreement</w:t>
      </w:r>
      <w:r>
        <w:rPr>
          <w:rFonts w:ascii="Times New Roman" w:cs="Times New Roman" w:eastAsia="Times New Roman" w:hAnsi="Times New Roman"/>
          <w:sz w:val="21"/>
          <w:szCs w:val="21"/>
          <w:color w:val="auto"/>
        </w:rPr>
        <w:t xml:space="preserve">. The respective obligations of the Lenders hereunder are several and not joint and no Lender shall be the partner or agent of any other (except to the extent to which the Administrative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parties hereto expressly agree that the Arrangers shall enjoy the benefits of the provisions of Sections 9.6, 9.10 and 10.11 to the extent specifically set forth therein and shall have the right to enforce such provisions on its own behalf and in its own name to the same extent as if it were a party to this Agreement.</w:t>
      </w:r>
    </w:p>
    <w:p>
      <w:pPr>
        <w:spacing w:after="0" w:line="2"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1"/>
          <w:szCs w:val="21"/>
          <w:color w:val="auto"/>
        </w:rPr>
        <w:t>9.6.</w:t>
      </w:r>
      <w:r>
        <w:rPr>
          <w:sz w:val="20"/>
          <w:szCs w:val="20"/>
          <w:color w:val="auto"/>
        </w:rPr>
        <w:tab/>
      </w:r>
      <w:r>
        <w:rPr>
          <w:rFonts w:ascii="Times New Roman" w:cs="Times New Roman" w:eastAsia="Times New Roman" w:hAnsi="Times New Roman"/>
          <w:sz w:val="21"/>
          <w:szCs w:val="21"/>
          <w:u w:val="single" w:color="auto"/>
          <w:color w:val="auto"/>
        </w:rPr>
        <w:t>Expenses; Indemnification</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jc w:val="both"/>
        <w:ind w:firstLine="1291"/>
        <w:spacing w:after="0" w:line="258" w:lineRule="auto"/>
        <w:tabs>
          <w:tab w:leader="none" w:pos="179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reimburse the Administrative Agent and U.S. Bank as an Arranger upon demand for all reasonable out-of-pocket expenses paid or incurred by the Administrative Agent or U.S. Bank as an Arranger, including filing and recording costs and fees, costs of any environmental review, and consultants’ fees, travel expenses and reasonable fees, charges and disbursements of outside counsel to the Administrative Agent and U.S. Bank as an Arranger and/or the allocated costs of in-house counsel incurred from time to time, in connection with the due diligence, preparation, administration, negotiation, execution, delivery, syndication, distribution (including via Debticate and any other internet service selected by the Administrative Agent), review, amendment, modification, and administration of the Loan Documents, and expenses incurred in connection with assessing and responding to any subpoena, garnishment or similar process served on the Administrative Agent relating to the Borrower, any Guarantor, any Loan Document or the extensions of credit evidenced thereby. The Borrower also agrees to reimburse the Administrative Agent, U.S. Bank as an Arranger, the LC Issuer and the Lenders for any reasonable costs, internal charges and out-of-pocket expenses, including consultants’ fees, travel expenses and reasonable fees, charges and disbursements of outside counsel to the Administrative Agent, U.S. Bank as an Arranger, the LC Issuer and the Lenders (provided, that the Borrower shall not be responsible for the reasonable fees and disbursements of more than one counsel to the Lenders and any necessary local counsel (limited to one local counsel in each relevant jurisdiction) unless there is an actual or perceived conflict of interest in which case such affected Persons, taken as a whole, may retain one conflicts counsel) and/or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409" w:right="339" w:bottom="1440" w:gutter="0" w:footer="0" w:header="0"/>
        </w:sectPr>
      </w:pPr>
    </w:p>
    <w:bookmarkStart w:id="95" w:name="page96"/>
    <w:bookmarkEnd w:id="95"/>
    <w:p>
      <w:pPr>
        <w:spacing w:after="0" w:line="289" w:lineRule="auto"/>
        <w:rPr>
          <w:sz w:val="20"/>
          <w:szCs w:val="20"/>
          <w:color w:val="auto"/>
        </w:rPr>
      </w:pPr>
      <w:r>
        <w:rPr>
          <w:rFonts w:ascii="Times New Roman" w:cs="Times New Roman" w:eastAsia="Times New Roman" w:hAnsi="Times New Roman"/>
          <w:sz w:val="21"/>
          <w:szCs w:val="21"/>
          <w:color w:val="auto"/>
        </w:rPr>
        <w:t>allocated costs of in-house counsel incurred from time to time, paid or incurred by the Administrative Agent, U.S. Bank as an Arranger, the LC Issuer or any Lender in connection with the collection and enforcement of the Loan Documents.</w:t>
      </w:r>
    </w:p>
    <w:p>
      <w:pPr>
        <w:spacing w:after="0" w:line="141" w:lineRule="exact"/>
        <w:rPr>
          <w:sz w:val="20"/>
          <w:szCs w:val="20"/>
          <w:color w:val="auto"/>
        </w:rPr>
      </w:pPr>
    </w:p>
    <w:p>
      <w:pPr>
        <w:jc w:val="both"/>
        <w:ind w:firstLine="1291"/>
        <w:spacing w:after="0" w:line="258" w:lineRule="auto"/>
        <w:tabs>
          <w:tab w:leader="none" w:pos="176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hereby further agrees to indemnify and hold harmless the Administrative Agent, the Arrangers, the LC Issuer, each Lender, their respective affiliates, and each of their directors, officers and employees, agents and advisors (each, an “Indemnified Party”) against all losses, claims, damages, penalties, judgments, liabilities and expenses (including, without limitation, reasonable attorneys’ fees, charges and disbursements and settlement costs (including, without limitation, all expenses of litigation or preparation therefor) whether or not the Indemnified Party is a party thereto) which any such Indemnified Party may pay or incur arising out of or relating to this Agreement, the other Loan Documents, the transactions contemplated hereby, or any actual or prospective claim, litigation, investigation or proceeding relating to any of the foregoing, whether based on contract, tort or any other theory, whether brought by a third party or by Borrower or any of its Subsidiaries, or the direct or indirect application or proposed application of the proceeds of any Credit Extension hereunder except to the extent that they are determined in a final non-appealable judgment by a court of competent jurisdiction to have resulted from (i) the gross negligence or willful misconduct of the applicable Indemnified Party, (ii) a material breach of the Loan Documents by such Indemnified Party or (iii) disputes solely among Indemnified Parties (other than any claims against an Indemnified Party in its capacity or in fulfilling its role as the Administrative Agent, Arranger or similar role under the Loan Documents). The obligations of the Borrower under this Section 9.6 shall survive the termination of this Agreement.</w:t>
      </w:r>
    </w:p>
    <w:p>
      <w:pPr>
        <w:spacing w:after="0" w:line="177" w:lineRule="exact"/>
        <w:rPr>
          <w:rFonts w:ascii="Times New Roman" w:cs="Times New Roman" w:eastAsia="Times New Roman" w:hAnsi="Times New Roman"/>
          <w:sz w:val="21"/>
          <w:szCs w:val="21"/>
          <w:color w:val="auto"/>
        </w:rPr>
      </w:pPr>
    </w:p>
    <w:p>
      <w:pPr>
        <w:ind w:firstLine="1291"/>
        <w:spacing w:after="0" w:line="289" w:lineRule="auto"/>
        <w:tabs>
          <w:tab w:leader="none" w:pos="187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Section 9.03(b) shall not apply with respect to Taxes other than any Taxes that represent losses or damages arising from any non-Tax claim.</w:t>
      </w:r>
    </w:p>
    <w:p>
      <w:pPr>
        <w:spacing w:after="0" w:line="141"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 xml:space="preserve">9.7. </w:t>
      </w:r>
      <w:r>
        <w:rPr>
          <w:rFonts w:ascii="Times New Roman" w:cs="Times New Roman" w:eastAsia="Times New Roman" w:hAnsi="Times New Roman"/>
          <w:sz w:val="21"/>
          <w:szCs w:val="21"/>
          <w:u w:val="single" w:color="auto"/>
          <w:color w:val="auto"/>
        </w:rPr>
        <w:t>Numbers of Documents</w:t>
      </w:r>
      <w:r>
        <w:rPr>
          <w:rFonts w:ascii="Times New Roman" w:cs="Times New Roman" w:eastAsia="Times New Roman" w:hAnsi="Times New Roman"/>
          <w:sz w:val="21"/>
          <w:szCs w:val="21"/>
          <w:color w:val="auto"/>
        </w:rPr>
        <w:t>. Upon request of the Administrative Agent, the Borrower shall furnish to the Administrative Agent sufficient counterparts of all statements, notices, closing documents, and requests hereunder so that the Administrative Agent may furnish one to each of the Lenders.</w:t>
      </w:r>
    </w:p>
    <w:p>
      <w:pPr>
        <w:spacing w:after="0" w:line="3"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9.8. </w:t>
      </w:r>
      <w:r>
        <w:rPr>
          <w:rFonts w:ascii="Times New Roman" w:cs="Times New Roman" w:eastAsia="Times New Roman" w:hAnsi="Times New Roman"/>
          <w:sz w:val="21"/>
          <w:szCs w:val="21"/>
          <w:u w:val="single" w:color="auto"/>
          <w:color w:val="auto"/>
        </w:rPr>
        <w:t>Accounting</w:t>
      </w:r>
      <w:r>
        <w:rPr>
          <w:rFonts w:ascii="Times New Roman" w:cs="Times New Roman" w:eastAsia="Times New Roman" w:hAnsi="Times New Roman"/>
          <w:sz w:val="21"/>
          <w:szCs w:val="21"/>
          <w:color w:val="auto"/>
        </w:rPr>
        <w:t xml:space="preserve">. Except as provided to the contrary herein, all accounting terms used herein shall be interpreted and all accounting determinations hereunder shall be made in accordance with GAAP in a manner consistent with that used in preparing the financial statements referred to in Section 5.4, except that any calculation or determination which is to be made on a consolidated basis shall be made for the Borrower and all of its Subsidiaries, including those Subsidiaries, if any, which are unconsolidated on the Borrower’s audited financial statements;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Section 825-10-25 (or any other Accounting Standards Codification or Financial Accounting Standard having a similar result or effect) to value any Indebtedness or other liabilities of the Borrower or any of its Subsidiaries at “fair value”, as defined therein, or</w:t>
      </w:r>
    </w:p>
    <w:p>
      <w:pPr>
        <w:spacing w:after="0" w:line="1" w:lineRule="exact"/>
        <w:rPr>
          <w:sz w:val="20"/>
          <w:szCs w:val="20"/>
          <w:color w:val="auto"/>
        </w:rPr>
      </w:pPr>
    </w:p>
    <w:p>
      <w:pPr>
        <w:ind w:firstLine="7"/>
        <w:spacing w:after="0" w:line="278" w:lineRule="auto"/>
        <w:tabs>
          <w:tab w:leader="none" w:pos="33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treatment of Indebtedness in respect of convertible debt instruments under Financial Accounting Standards Codification Subtopic 470-20 (or any other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409" w:right="339" w:bottom="1440" w:gutter="0" w:footer="0" w:header="0"/>
        </w:sectPr>
      </w:pPr>
    </w:p>
    <w:bookmarkStart w:id="96" w:name="page97"/>
    <w:bookmarkEnd w:id="96"/>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Standards Codification or Financial Accounting Standard having a similar result or effect) to value any such Indebtedness in a reduced or bifurcated manner as described therein, and such Indebtedness shall at all times be valued at the full stated principal amount thereof. If at any time any change in GAAP would affect the computation of any financial ratio or requirement set forth in any Loan Document, and the Borrower, the Administrative Agent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until so amended, such ratio or requirement shall continue to be computed in accordance with GAAP prior to such change therein and the Borrower shall provide to the Administrative Agent and the Lenders reconciliation statements showing the difference in such calculation, together with the delivery of monthly, quarterly and annual financial statements required hereunder. Notwithstanding anything to the contrary contained in Section 9.8 or in the definition of “Finance Lease Obligations,” all obligations of any Person that are or would have been treated as operating leases for purposes of GAAP prior to the effectiveness of Financial Accounting Standards Board Accounting Standards Update No. 2016 02, Leases (Topic 842) (“FASB ASC 842”) shall continue to be accounted for as operating leases for purposes of all financial definitions and calculations for purposes of this Agreement (whether or not such operating lease obligations were in effect on such date) notwithstanding the fact that such obligations are required in accordance with FASB ASC 842 (on a prospective or retroactive basis or otherwise) to be treated as Finance Lease Obligations in the financial statements.</w:t>
      </w:r>
    </w:p>
    <w:p>
      <w:pPr>
        <w:spacing w:after="0" w:line="25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9.9. </w:t>
      </w:r>
      <w:r>
        <w:rPr>
          <w:rFonts w:ascii="Times New Roman" w:cs="Times New Roman" w:eastAsia="Times New Roman" w:hAnsi="Times New Roman"/>
          <w:sz w:val="21"/>
          <w:szCs w:val="21"/>
          <w:u w:val="single" w:color="auto"/>
          <w:color w:val="auto"/>
        </w:rPr>
        <w:t>Severability of Provisions</w:t>
      </w:r>
      <w:r>
        <w:rPr>
          <w:rFonts w:ascii="Times New Roman" w:cs="Times New Roman" w:eastAsia="Times New Roman" w:hAnsi="Times New Roman"/>
          <w:sz w:val="21"/>
          <w:szCs w:val="21"/>
          <w:color w:val="auto"/>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3"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9.10. </w:t>
      </w:r>
      <w:r>
        <w:rPr>
          <w:rFonts w:ascii="Times New Roman" w:cs="Times New Roman" w:eastAsia="Times New Roman" w:hAnsi="Times New Roman"/>
          <w:sz w:val="21"/>
          <w:szCs w:val="21"/>
          <w:u w:val="single" w:color="auto"/>
          <w:color w:val="auto"/>
        </w:rPr>
        <w:t>Nonliability of Lenders.</w:t>
      </w:r>
      <w:r>
        <w:rPr>
          <w:rFonts w:ascii="Times New Roman" w:cs="Times New Roman" w:eastAsia="Times New Roman" w:hAnsi="Times New Roman"/>
          <w:sz w:val="21"/>
          <w:szCs w:val="21"/>
          <w:color w:val="auto"/>
        </w:rPr>
        <w:t xml:space="preserve"> The relationship between the Borrower on the one hand and the Lenders, the LC Issuer and the Administrative Agent on the other hand shall be solely that of borrower and lender. Neither the Administrative Agent, any Arranger, the LC Issuer nor any Lender shall have any fiduciary responsibilities to the Borrower. Neither the Administrative Agent, any Arranger, the LC Issuer nor any Lender undertakes any responsibility to the Borrower to review or inform the Borrower of any matter in connection with any phase of the Borrower’s business or operations. The Borrower agrees that neither the Administrative Agent, any Arranger, the LC Issuer nor any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party from which recovery is sought. No party hereto shall have any liability with respect to, and each party waives, releases and agrees not to sue for, any lost profits or special, indirect, consequential or punitive damages suffered by any other party in connection with, arising out of, or in any way related to the Loan Documents or the transactions contemplated thereby; provided that nothing contained in this sentence shall limit or otherwise relieve the Borrower’s indemnity obligations under Section 9.6(b). It is agreed that no Arranger shall, in its capacity as such, have any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409" w:right="339" w:bottom="1440" w:gutter="0" w:footer="0" w:header="0"/>
        </w:sectPr>
      </w:pPr>
    </w:p>
    <w:bookmarkStart w:id="97" w:name="page98"/>
    <w:bookmarkEnd w:id="97"/>
    <w:p>
      <w:pPr>
        <w:jc w:val="both"/>
        <w:spacing w:after="0" w:line="264" w:lineRule="auto"/>
        <w:rPr>
          <w:sz w:val="20"/>
          <w:szCs w:val="20"/>
          <w:color w:val="auto"/>
        </w:rPr>
      </w:pPr>
      <w:r>
        <w:rPr>
          <w:rFonts w:ascii="Times New Roman" w:cs="Times New Roman" w:eastAsia="Times New Roman" w:hAnsi="Times New Roman"/>
          <w:sz w:val="21"/>
          <w:szCs w:val="21"/>
          <w:color w:val="auto"/>
        </w:rPr>
        <w:t>or responsibilities under the Agreement or any other Loan Document. Each Lender acknowledges that it has not relied and will not rely on any Arranger in deciding to enter into the Agreement or any other Loan Document or in taking or not taking any action.</w:t>
      </w:r>
    </w:p>
    <w:p>
      <w:pPr>
        <w:spacing w:after="0" w:line="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9.11.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Administrative Agent and each Lender agrees to hold any confidential information which it may receive from the Borrower in connection with this Agreement in confidence, except for disclosure (i) to its Affiliates and to the Administrative Agent and any other Lender and their respective Affiliates, and, in each case, their respective employees, directors, and officers, (ii) to legal counsel, accountants, and other professional advisors to the Administrative Agent or such Lender provided such parties have been notified of the confidential nature of such information and instructed to keep such Information confidential, (iii) as provided in Section 12.3(e), (iv) to regulatory officials, (v) to any Person as requested pursuant to or as required by Law or subpoena or legal process, (vi) to its direct or indirect contractual counterparties in swap agreements or to legal counsel, accountants and other professional advisors to such counterparties provided such parties have been notified of the confidential nature of such information and instructed to keep such Information confidential, (vii) to rating agencies if requested or required by such agencies in connection with a rating relating to the Advances hereunder, (viii) in connection with the exercise of any remedies hereunder or any suit, action or proceeding relating to this Agreement or any other Loan Document or the enforcement of rights hereunder or thereunder, and (ix) to the extent such information (1) becomes publicly available other than as a result of a breach of this Section 9.11 or (2) becomes available to the Administrative Agent, the LC Issuer, the Swing Line Lender or any other Lender on a non-confidential basis from a source other than the Borrower. Without limiting Section 9.4, the Borrower agrees that the terms of this Section 9.11 shall set forth the entire agreement between the Borrower and the Administrative Agent and each Lender with respect to any confidential information previously or hereafter received by the Administrative Agent or such Lender in connection with this Agreement, and this Section 9.11 shall supersede any and all prior confidentiality agreements entered into by the Administrative Agent or any Lender with respect to such confidential information. For the avoidance of doubt, nothing in this Section 9.11 shall prohibit any Person from voluntarily disclosing or providing any information to any governmental, regulatory or self-regulatory organization to the extent that such prohibition is prohibited by the laws or regulations applicable to such governmental, regulatory or self-regulatory organization.</w:t>
      </w:r>
    </w:p>
    <w:p>
      <w:pPr>
        <w:spacing w:after="0" w:line="2"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9.12. </w:t>
      </w:r>
      <w:r>
        <w:rPr>
          <w:rFonts w:ascii="Times New Roman" w:cs="Times New Roman" w:eastAsia="Times New Roman" w:hAnsi="Times New Roman"/>
          <w:sz w:val="21"/>
          <w:szCs w:val="21"/>
          <w:u w:val="single" w:color="auto"/>
          <w:color w:val="auto"/>
        </w:rPr>
        <w:t>Nonreliance</w:t>
      </w:r>
      <w:r>
        <w:rPr>
          <w:rFonts w:ascii="Times New Roman" w:cs="Times New Roman" w:eastAsia="Times New Roman" w:hAnsi="Times New Roman"/>
          <w:sz w:val="21"/>
          <w:szCs w:val="21"/>
          <w:color w:val="auto"/>
        </w:rPr>
        <w:t>. Each Lender hereby represents that it is not relying on or looking to any margin stock (as defined in Regulation U) for the repayment of the Credit Extensions provided for herein.</w:t>
      </w:r>
    </w:p>
    <w:p>
      <w:pPr>
        <w:jc w:val="both"/>
        <w:ind w:firstLine="642"/>
        <w:spacing w:after="0" w:line="252" w:lineRule="auto"/>
        <w:rPr>
          <w:sz w:val="20"/>
          <w:szCs w:val="20"/>
          <w:color w:val="auto"/>
        </w:rPr>
      </w:pPr>
      <w:r>
        <w:rPr>
          <w:rFonts w:ascii="Times New Roman" w:cs="Times New Roman" w:eastAsia="Times New Roman" w:hAnsi="Times New Roman"/>
          <w:sz w:val="21"/>
          <w:szCs w:val="21"/>
          <w:color w:val="auto"/>
        </w:rPr>
        <w:t xml:space="preserve">9.13. </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The Borrower and each Lender hereby acknowledge and agree that U.S. Bank and/or its Affiliates from time to time may hold investments in, make other loans to or have other relationships with the Borrower and its Affiliates.</w:t>
      </w:r>
    </w:p>
    <w:p>
      <w:pPr>
        <w:spacing w:after="0" w:line="1" w:lineRule="exact"/>
        <w:rPr>
          <w:sz w:val="20"/>
          <w:szCs w:val="20"/>
          <w:color w:val="auto"/>
        </w:rPr>
      </w:pPr>
    </w:p>
    <w:p>
      <w:pPr>
        <w:jc w:val="both"/>
        <w:ind w:right="20" w:firstLine="642"/>
        <w:spacing w:after="0" w:line="252" w:lineRule="auto"/>
        <w:rPr>
          <w:sz w:val="20"/>
          <w:szCs w:val="20"/>
          <w:color w:val="auto"/>
        </w:rPr>
      </w:pPr>
      <w:r>
        <w:rPr>
          <w:rFonts w:ascii="Times New Roman" w:cs="Times New Roman" w:eastAsia="Times New Roman" w:hAnsi="Times New Roman"/>
          <w:sz w:val="21"/>
          <w:szCs w:val="21"/>
          <w:color w:val="auto"/>
        </w:rPr>
        <w:t xml:space="preserve">9.14. </w:t>
      </w:r>
      <w:r>
        <w:rPr>
          <w:rFonts w:ascii="Times New Roman" w:cs="Times New Roman" w:eastAsia="Times New Roman" w:hAnsi="Times New Roman"/>
          <w:sz w:val="21"/>
          <w:szCs w:val="21"/>
          <w:u w:val="single" w:color="auto"/>
          <w:color w:val="auto"/>
        </w:rPr>
        <w:t>USA PATRIOT ACT NOTIFICATION</w:t>
      </w:r>
      <w:r>
        <w:rPr>
          <w:rFonts w:ascii="Times New Roman" w:cs="Times New Roman" w:eastAsia="Times New Roman" w:hAnsi="Times New Roman"/>
          <w:sz w:val="21"/>
          <w:szCs w:val="21"/>
          <w:color w:val="auto"/>
        </w:rPr>
        <w:t>. The following notification is provided to Borrower pursuant to Section 326 of the PATRIOT Act: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Each Lender that is subject to the requirements of the PATRIOT Act hereby notifies the Borrower and each other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409" w:right="339" w:bottom="1440" w:gutter="0" w:footer="0" w:header="0"/>
        </w:sectPr>
      </w:pPr>
    </w:p>
    <w:bookmarkStart w:id="98" w:name="page99"/>
    <w:bookmarkEnd w:id="98"/>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9.15. </w:t>
      </w:r>
      <w:r>
        <w:rPr>
          <w:rFonts w:ascii="Times New Roman" w:cs="Times New Roman" w:eastAsia="Times New Roman" w:hAnsi="Times New Roman"/>
          <w:sz w:val="21"/>
          <w:szCs w:val="21"/>
          <w:u w:val="single" w:color="auto"/>
          <w:color w:val="auto"/>
        </w:rPr>
        <w:t>Acknowledgement and Consent to Bail-In of Affected Financial Institutions</w:t>
      </w:r>
      <w:r>
        <w:rPr>
          <w:rFonts w:ascii="Times New Roman" w:cs="Times New Roman" w:eastAsia="Times New Roman" w:hAnsi="Times New Roman"/>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 Resolution Authority and agrees and consents to, and acknowledges and agrees to be bound by:</w:t>
      </w:r>
    </w:p>
    <w:p>
      <w:pPr>
        <w:spacing w:after="0" w:line="5" w:lineRule="exact"/>
        <w:rPr>
          <w:sz w:val="20"/>
          <w:szCs w:val="20"/>
          <w:color w:val="auto"/>
        </w:rPr>
      </w:pPr>
    </w:p>
    <w:p>
      <w:pPr>
        <w:ind w:right="20" w:firstLine="1291"/>
        <w:spacing w:after="0" w:line="265" w:lineRule="auto"/>
        <w:tabs>
          <w:tab w:leader="none" w:pos="178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a Resolution Authority to any such liabilities arising hereunder which may be payable to it by any party hereto that is an Affected Financial Institution; and</w:t>
      </w:r>
    </w:p>
    <w:p>
      <w:pPr>
        <w:spacing w:after="0" w:line="164" w:lineRule="exact"/>
        <w:rPr>
          <w:rFonts w:ascii="Times New Roman" w:cs="Times New Roman" w:eastAsia="Times New Roman" w:hAnsi="Times New Roman"/>
          <w:sz w:val="21"/>
          <w:szCs w:val="21"/>
          <w:color w:val="auto"/>
        </w:rPr>
      </w:pPr>
    </w:p>
    <w:p>
      <w:pPr>
        <w:ind w:left="1760" w:hanging="469"/>
        <w:spacing w:after="0"/>
        <w:tabs>
          <w:tab w:leader="none" w:pos="17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239" w:lineRule="exact"/>
        <w:rPr>
          <w:rFonts w:ascii="Times New Roman" w:cs="Times New Roman" w:eastAsia="Times New Roman" w:hAnsi="Times New Roman"/>
          <w:sz w:val="21"/>
          <w:szCs w:val="21"/>
          <w:color w:val="auto"/>
        </w:rPr>
      </w:pPr>
    </w:p>
    <w:p>
      <w:pPr>
        <w:ind w:left="2340" w:hanging="407"/>
        <w:spacing w:after="0"/>
        <w:tabs>
          <w:tab w:leader="none" w:pos="23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226" w:lineRule="exact"/>
        <w:rPr>
          <w:rFonts w:ascii="Times New Roman" w:cs="Times New Roman" w:eastAsia="Times New Roman" w:hAnsi="Times New Roman"/>
          <w:sz w:val="21"/>
          <w:szCs w:val="21"/>
          <w:color w:val="auto"/>
        </w:rPr>
      </w:pPr>
    </w:p>
    <w:p>
      <w:pPr>
        <w:jc w:val="both"/>
        <w:ind w:left="640" w:firstLine="1293"/>
        <w:spacing w:after="0" w:line="264" w:lineRule="auto"/>
        <w:tabs>
          <w:tab w:leader="none" w:pos="241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7" w:lineRule="exact"/>
        <w:rPr>
          <w:rFonts w:ascii="Times New Roman" w:cs="Times New Roman" w:eastAsia="Times New Roman" w:hAnsi="Times New Roman"/>
          <w:sz w:val="21"/>
          <w:szCs w:val="21"/>
          <w:color w:val="auto"/>
        </w:rPr>
      </w:pPr>
    </w:p>
    <w:p>
      <w:pPr>
        <w:ind w:left="640" w:firstLine="1293"/>
        <w:spacing w:after="0" w:line="302" w:lineRule="auto"/>
        <w:tabs>
          <w:tab w:leader="none" w:pos="2552"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any Resolution Authority.</w:t>
      </w:r>
    </w:p>
    <w:p>
      <w:pPr>
        <w:spacing w:after="0" w:line="128"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9.16. </w:t>
      </w:r>
      <w:r>
        <w:rPr>
          <w:rFonts w:ascii="Times New Roman" w:cs="Times New Roman" w:eastAsia="Times New Roman" w:hAnsi="Times New Roman"/>
          <w:sz w:val="21"/>
          <w:szCs w:val="21"/>
          <w:u w:val="single" w:color="auto"/>
          <w:color w:val="auto"/>
        </w:rPr>
        <w:t>Acknowledgment Regarding Any Supported QFCs</w:t>
      </w:r>
      <w:r>
        <w:rPr>
          <w:rFonts w:ascii="Times New Roman" w:cs="Times New Roman" w:eastAsia="Times New Roman" w:hAnsi="Times New Roman"/>
          <w:sz w:val="21"/>
          <w:szCs w:val="21"/>
          <w:color w:val="auto"/>
        </w:rPr>
        <w:t>. To the extent that the Loan Documents provide support, through a guarantee or otherwise, for Swaps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of any other state of the United States):</w:t>
      </w:r>
    </w:p>
    <w:p>
      <w:pPr>
        <w:spacing w:after="0" w:line="2" w:lineRule="exact"/>
        <w:rPr>
          <w:sz w:val="20"/>
          <w:szCs w:val="20"/>
          <w:color w:val="auto"/>
        </w:rPr>
      </w:pPr>
    </w:p>
    <w:p>
      <w:pPr>
        <w:jc w:val="both"/>
        <w:ind w:firstLine="1291"/>
        <w:spacing w:after="0" w:line="257" w:lineRule="auto"/>
        <w:tabs>
          <w:tab w:leader="none" w:pos="174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Entity that is a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409" w:right="339" w:bottom="1440" w:gutter="0" w:footer="0" w:header="0"/>
        </w:sectPr>
      </w:pPr>
    </w:p>
    <w:bookmarkStart w:id="99" w:name="page100"/>
    <w:bookmarkEnd w:id="99"/>
    <w:p>
      <w:pPr>
        <w:jc w:val="both"/>
        <w:spacing w:after="0" w:line="265" w:lineRule="auto"/>
        <w:rPr>
          <w:sz w:val="20"/>
          <w:szCs w:val="20"/>
          <w:color w:val="auto"/>
        </w:rPr>
      </w:pPr>
      <w:r>
        <w:rPr>
          <w:rFonts w:ascii="Times New Roman" w:cs="Times New Roman" w:eastAsia="Times New Roman" w:hAnsi="Times New Roman"/>
          <w:sz w:val="21"/>
          <w:szCs w:val="21"/>
          <w:color w:val="auto"/>
        </w:rPr>
        <w:t>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sz w:val="20"/>
          <w:szCs w:val="20"/>
          <w:color w:val="auto"/>
        </w:rPr>
      </w:pPr>
    </w:p>
    <w:p>
      <w:pPr>
        <w:ind w:left="1940"/>
        <w:spacing w:after="0"/>
        <w:tabs>
          <w:tab w:leader="none" w:pos="2320" w:val="left"/>
        </w:tabs>
        <w:rPr>
          <w:sz w:val="20"/>
          <w:szCs w:val="20"/>
          <w:color w:val="auto"/>
        </w:rPr>
      </w:pPr>
      <w:r>
        <w:rPr>
          <w:rFonts w:ascii="Times New Roman" w:cs="Times New Roman" w:eastAsia="Times New Roman" w:hAnsi="Times New Roman"/>
          <w:sz w:val="21"/>
          <w:szCs w:val="21"/>
          <w:color w:val="auto"/>
        </w:rPr>
        <w:t>(i)</w:t>
        <w:tab/>
        <w:t xml:space="preserve">As used in this </w:t>
      </w:r>
      <w:r>
        <w:rPr>
          <w:rFonts w:ascii="Times New Roman" w:cs="Times New Roman" w:eastAsia="Times New Roman" w:hAnsi="Times New Roman"/>
          <w:sz w:val="21"/>
          <w:szCs w:val="21"/>
          <w:u w:val="single" w:color="auto"/>
          <w:color w:val="auto"/>
        </w:rPr>
        <w:t>Section 10.19</w:t>
      </w:r>
      <w:r>
        <w:rPr>
          <w:rFonts w:ascii="Times New Roman" w:cs="Times New Roman" w:eastAsia="Times New Roman" w:hAnsi="Times New Roman"/>
          <w:sz w:val="21"/>
          <w:szCs w:val="21"/>
          <w:color w:val="auto"/>
        </w:rPr>
        <w:t>, the following terms have the following meanings:</w:t>
      </w:r>
    </w:p>
    <w:p>
      <w:pPr>
        <w:spacing w:after="0" w:line="227" w:lineRule="exact"/>
        <w:rPr>
          <w:sz w:val="20"/>
          <w:szCs w:val="20"/>
          <w:color w:val="auto"/>
        </w:rPr>
      </w:pPr>
    </w:p>
    <w:p>
      <w:pPr>
        <w:ind w:left="1300" w:firstLine="642"/>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means, with respect to any party, an “affiliate” (as such term is defined under, and interpreted in accordance with, 12 U.S.C. 1841(k)) of such party.</w:t>
      </w:r>
    </w:p>
    <w:p>
      <w:pPr>
        <w:spacing w:after="0" w:line="15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w:t>
      </w:r>
    </w:p>
    <w:p>
      <w:pPr>
        <w:spacing w:after="0" w:line="227" w:lineRule="exact"/>
        <w:rPr>
          <w:sz w:val="20"/>
          <w:szCs w:val="20"/>
          <w:color w:val="auto"/>
        </w:rPr>
      </w:pPr>
    </w:p>
    <w:p>
      <w:pPr>
        <w:ind w:left="3100" w:hanging="525"/>
        <w:spacing w:after="0"/>
        <w:tabs>
          <w:tab w:leader="none" w:pos="310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entity” as that term is defined in, and interpreted in accordance with, 12 C.F.R.</w:t>
      </w:r>
    </w:p>
    <w:p>
      <w:pPr>
        <w:spacing w:after="0" w:line="36" w:lineRule="exact"/>
        <w:rPr>
          <w:rFonts w:ascii="Times New Roman" w:cs="Times New Roman" w:eastAsia="Times New Roman" w:hAnsi="Times New Roman"/>
          <w:sz w:val="21"/>
          <w:szCs w:val="21"/>
          <w:color w:val="auto"/>
        </w:rPr>
      </w:pPr>
    </w:p>
    <w:p>
      <w:pPr>
        <w:ind w:left="1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§252.82(b);</w:t>
      </w:r>
    </w:p>
    <w:p>
      <w:pPr>
        <w:spacing w:after="0" w:line="202" w:lineRule="exact"/>
        <w:rPr>
          <w:rFonts w:ascii="Times New Roman" w:cs="Times New Roman" w:eastAsia="Times New Roman" w:hAnsi="Times New Roman"/>
          <w:sz w:val="21"/>
          <w:szCs w:val="21"/>
          <w:color w:val="auto"/>
        </w:rPr>
      </w:pPr>
    </w:p>
    <w:p>
      <w:pPr>
        <w:ind w:left="3160" w:hanging="585"/>
        <w:spacing w:after="0"/>
        <w:tabs>
          <w:tab w:leader="none" w:pos="31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w:t>
      </w:r>
    </w:p>
    <w:p>
      <w:pPr>
        <w:spacing w:after="0" w:line="36" w:lineRule="exact"/>
        <w:rPr>
          <w:rFonts w:ascii="Times New Roman" w:cs="Times New Roman" w:eastAsia="Times New Roman" w:hAnsi="Times New Roman"/>
          <w:sz w:val="21"/>
          <w:szCs w:val="21"/>
          <w:color w:val="auto"/>
        </w:rPr>
      </w:pPr>
    </w:p>
    <w:p>
      <w:pPr>
        <w:ind w:left="1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§47.3(b); or</w:t>
      </w:r>
    </w:p>
    <w:p>
      <w:pPr>
        <w:spacing w:after="0" w:line="202" w:lineRule="exact"/>
        <w:rPr>
          <w:rFonts w:ascii="Times New Roman" w:cs="Times New Roman" w:eastAsia="Times New Roman" w:hAnsi="Times New Roman"/>
          <w:sz w:val="21"/>
          <w:szCs w:val="21"/>
          <w:color w:val="auto"/>
        </w:rPr>
      </w:pPr>
    </w:p>
    <w:p>
      <w:pPr>
        <w:ind w:left="3240" w:hanging="665"/>
        <w:spacing w:after="0"/>
        <w:tabs>
          <w:tab w:leader="none" w:pos="324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w:t>
      </w:r>
    </w:p>
    <w:p>
      <w:pPr>
        <w:spacing w:after="0" w:line="37" w:lineRule="exact"/>
        <w:rPr>
          <w:rFonts w:ascii="Times New Roman" w:cs="Times New Roman" w:eastAsia="Times New Roman" w:hAnsi="Times New Roman"/>
          <w:sz w:val="21"/>
          <w:szCs w:val="21"/>
          <w:color w:val="auto"/>
        </w:rPr>
      </w:pPr>
    </w:p>
    <w:p>
      <w:pPr>
        <w:ind w:left="1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§382.2(b).</w:t>
      </w:r>
    </w:p>
    <w:p>
      <w:pPr>
        <w:spacing w:after="0" w:line="215" w:lineRule="exact"/>
        <w:rPr>
          <w:sz w:val="20"/>
          <w:szCs w:val="20"/>
          <w:color w:val="auto"/>
        </w:rPr>
      </w:pPr>
    </w:p>
    <w:p>
      <w:pPr>
        <w:ind w:left="1300" w:firstLine="642"/>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§252.81, 47.2 or 382.1, as applicable.</w:t>
      </w:r>
    </w:p>
    <w:p>
      <w:pPr>
        <w:spacing w:after="0" w:line="141" w:lineRule="exact"/>
        <w:rPr>
          <w:sz w:val="20"/>
          <w:szCs w:val="20"/>
          <w:color w:val="auto"/>
        </w:rPr>
      </w:pPr>
    </w:p>
    <w:p>
      <w:pPr>
        <w:ind w:left="1300" w:firstLine="642"/>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THE ADMINISTRATIVE AGENT</w:t>
      </w:r>
    </w:p>
    <w:p>
      <w:pPr>
        <w:spacing w:after="0" w:line="231"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Appointment; Nature of Relationship</w:t>
      </w:r>
      <w:r>
        <w:rPr>
          <w:rFonts w:ascii="Times New Roman" w:cs="Times New Roman" w:eastAsia="Times New Roman" w:hAnsi="Times New Roman"/>
          <w:sz w:val="21"/>
          <w:szCs w:val="21"/>
          <w:color w:val="auto"/>
        </w:rPr>
        <w:t>. U.S. Bank is hereby appointed by each of the Lenders as its contractual representative (herein referred to as the “Administrative Agent”) hereunder and under each other Loan Document, and each of the Lenders irrevocably authorizes the Administrative Agent to act as the contractual representative of such Lender with the rights and duties expressly set forth herein and in the other Loan Documents. The Administrative Agent agrees to act as such contractual representative upon the express conditions contained in this Article X. Notwithstanding the use of the defined term “Administrative Agent,” it is expressly understood and agreed that the Administrative Agent shall not have any fiduciary responsibilities to any Lender by reason of this Agreement or any other Loan Document and that the Administrative Agent is merely acting as the contractual representative of the Lenders with only those duties as are expressly set forth in this Agreement and the other Loan Documents.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409" w:right="339" w:bottom="1440" w:gutter="0" w:footer="0" w:header="0"/>
        </w:sectPr>
      </w:pPr>
    </w:p>
    <w:bookmarkStart w:id="100" w:name="page101"/>
    <w:bookmarkEnd w:id="100"/>
    <w:p>
      <w:pPr>
        <w:jc w:val="both"/>
        <w:spacing w:after="0" w:line="259" w:lineRule="auto"/>
        <w:rPr>
          <w:sz w:val="20"/>
          <w:szCs w:val="20"/>
          <w:color w:val="auto"/>
        </w:rPr>
      </w:pPr>
      <w:r>
        <w:rPr>
          <w:rFonts w:ascii="Times New Roman" w:cs="Times New Roman" w:eastAsia="Times New Roman" w:hAnsi="Times New Roman"/>
          <w:sz w:val="21"/>
          <w:szCs w:val="21"/>
          <w:color w:val="auto"/>
        </w:rPr>
        <w:t>its capacity as the Lenders’ contractual representative, the Administrative Agent (i) does not hereby assume any fiduciary duties to any of the Lenders, and (ii) is acting as an independent contractor, the rights and duties of which are limited to those expressly set forth in this Agreement and the other Loan Documents. Each of the Lenders hereby agrees to assert no claim against the Administrative Agent on any agency theory or any other theory of liability for breach of fiduciary duty, all of which claims each Lender hereby waives.</w:t>
      </w:r>
    </w:p>
    <w:p>
      <w:pPr>
        <w:spacing w:after="0" w:line="5"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Powers</w:t>
      </w:r>
      <w:r>
        <w:rPr>
          <w:rFonts w:ascii="Times New Roman" w:cs="Times New Roman" w:eastAsia="Times New Roman" w:hAnsi="Times New Roman"/>
          <w:sz w:val="21"/>
          <w:szCs w:val="21"/>
          <w:color w:val="auto"/>
        </w:rPr>
        <w:t>. The Administrative Agent shall have and may exercise such powers under the Loan Documents as are specifically delegated to the Administrative Agent by the terms of each thereof, together with such powers as are reasonably incidental thereto. The Administrative Agent shall have no implied duties to the Lenders, or any obligation to the Lenders to take any action thereunder except any action specifically provided by the Loan Documents to be taken by the Administrative Agent.</w:t>
      </w:r>
    </w:p>
    <w:p>
      <w:pPr>
        <w:spacing w:after="0" w:line="3" w:lineRule="exact"/>
        <w:rPr>
          <w:sz w:val="20"/>
          <w:szCs w:val="20"/>
          <w:color w:val="auto"/>
        </w:rPr>
      </w:pPr>
    </w:p>
    <w:p>
      <w:pPr>
        <w:jc w:val="both"/>
        <w:ind w:firstLine="642"/>
        <w:spacing w:after="0" w:line="252"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General Immunity</w:t>
      </w:r>
      <w:r>
        <w:rPr>
          <w:rFonts w:ascii="Times New Roman" w:cs="Times New Roman" w:eastAsia="Times New Roman" w:hAnsi="Times New Roman"/>
          <w:sz w:val="21"/>
          <w:szCs w:val="21"/>
          <w:color w:val="auto"/>
        </w:rPr>
        <w:t>. Neither the Administrative Agent nor any of its directors, officers, agents or employees shall be liable to the Borrower,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or willful misconduct of such Person.</w:t>
      </w:r>
    </w:p>
    <w:p>
      <w:pPr>
        <w:spacing w:after="0" w:line="3"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No Responsibility for Loans, Recitals, etc</w:t>
      </w:r>
      <w:r>
        <w:rPr>
          <w:rFonts w:ascii="Times New Roman" w:cs="Times New Roman" w:eastAsia="Times New Roman" w:hAnsi="Times New Roman"/>
          <w:sz w:val="21"/>
          <w:szCs w:val="21"/>
          <w:color w:val="auto"/>
        </w:rPr>
        <w:t>. Neither the Administrative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any agreement by an obligor to furnish information directly to each Lender; (c) the satisfaction of any condition specified in Article IV, except receipt of items required to be delivered solely to the Administrative Agent; (d) the existence or possible existence of any Default or Event of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Borrower or any guarantor of any of the Obligations or of any of the Borrower’s or any such guarantor’s respective Subsidiaries.</w:t>
      </w:r>
    </w:p>
    <w:p>
      <w:pPr>
        <w:spacing w:after="0" w:line="2"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10.5. </w:t>
      </w:r>
      <w:r>
        <w:rPr>
          <w:rFonts w:ascii="Times New Roman" w:cs="Times New Roman" w:eastAsia="Times New Roman" w:hAnsi="Times New Roman"/>
          <w:sz w:val="21"/>
          <w:szCs w:val="21"/>
          <w:u w:val="single" w:color="auto"/>
          <w:color w:val="auto"/>
        </w:rPr>
        <w:t>Action on Instructions of Lenders</w:t>
      </w:r>
      <w:r>
        <w:rPr>
          <w:rFonts w:ascii="Times New Roman" w:cs="Times New Roman" w:eastAsia="Times New Roman" w:hAnsi="Times New Roman"/>
          <w:sz w:val="21"/>
          <w:szCs w:val="21"/>
          <w:color w:val="auto"/>
        </w:rPr>
        <w:t>. The Administrative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Administrative Agent shall be under no duty to take any discretionary action permitted to be taken by it pursuant to the provisions of this Agreement or any other Loan Document unless it shall be requested in writing to do so by the Required Lenders. The Administrative Agent shall be fully justified in failing or refusing to take any action hereunder and under any other Loan Document unless it shall first be indemnified to its satisfaction by the Lenders pro rata against any and all liability, cost and expense that it may incur by reason of taking or continuing to take any such action. The Administrative Agent may, at any time, request instructions from the Required Lenders with respect to any actions or approvals which, by the terms of this Agreement or any of the Loan Documents, the Administrative Agent is permitted or required to take or to grant without consent 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40"/>
          </w:cols>
          <w:pgMar w:left="320" w:top="1409" w:right="339" w:bottom="1440" w:gutter="0" w:footer="0" w:header="0"/>
        </w:sectPr>
      </w:pPr>
    </w:p>
    <w:bookmarkStart w:id="101" w:name="page102"/>
    <w:bookmarkEnd w:id="101"/>
    <w:p>
      <w:pPr>
        <w:jc w:val="both"/>
        <w:spacing w:after="0" w:line="261" w:lineRule="auto"/>
        <w:rPr>
          <w:sz w:val="20"/>
          <w:szCs w:val="20"/>
          <w:color w:val="auto"/>
        </w:rPr>
      </w:pPr>
      <w:r>
        <w:rPr>
          <w:rFonts w:ascii="Times New Roman" w:cs="Times New Roman" w:eastAsia="Times New Roman" w:hAnsi="Times New Roman"/>
          <w:sz w:val="21"/>
          <w:szCs w:val="21"/>
          <w:color w:val="auto"/>
        </w:rPr>
        <w:t>from the Required Lenders, and if such instructions are promptly requested, the Administrative Agent will be absolutely entitled to refrain from taking any action or to withhold any approval under any of the Loan Documents and will not have any liability for refraining from taking any action or withholding any approval under any of the Loan Documents until it has received such instructions from the Required Lenders.</w:t>
      </w:r>
    </w:p>
    <w:p>
      <w:pPr>
        <w:spacing w:after="0" w:line="3"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10.6. </w:t>
      </w:r>
      <w:r>
        <w:rPr>
          <w:rFonts w:ascii="Times New Roman" w:cs="Times New Roman" w:eastAsia="Times New Roman" w:hAnsi="Times New Roman"/>
          <w:sz w:val="21"/>
          <w:szCs w:val="21"/>
          <w:u w:val="single" w:color="auto"/>
          <w:color w:val="auto"/>
        </w:rPr>
        <w:t>Employment of Administrative Agents and Counsel</w:t>
      </w:r>
      <w:r>
        <w:rPr>
          <w:rFonts w:ascii="Times New Roman" w:cs="Times New Roman" w:eastAsia="Times New Roman" w:hAnsi="Times New Roman"/>
          <w:sz w:val="21"/>
          <w:szCs w:val="21"/>
          <w:color w:val="auto"/>
        </w:rPr>
        <w:t>. The Administrative Agent may execute any of its duties as Administrative Agent hereunder and under any other Loan Document by or through employees, agents, and attorneys-in-fact. The Administrative Agent will not be responsible for the negligence or misconduct of any agents or attorneys-in-fact except to the extent that a court of competent jurisdiction determines in a final and non-appealable judgment that the Administrative Agent acted with gross negligence or willful misconduct in the selection of agents or attorneys-in-fact.</w:t>
      </w:r>
    </w:p>
    <w:p>
      <w:pPr>
        <w:spacing w:after="0" w:line="1"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10.7. </w:t>
      </w:r>
      <w:r>
        <w:rPr>
          <w:rFonts w:ascii="Times New Roman" w:cs="Times New Roman" w:eastAsia="Times New Roman" w:hAnsi="Times New Roman"/>
          <w:sz w:val="21"/>
          <w:szCs w:val="21"/>
          <w:u w:val="single" w:color="auto"/>
          <w:color w:val="auto"/>
        </w:rPr>
        <w:t>Reliance on Documents; Counsel</w:t>
      </w:r>
      <w:r>
        <w:rPr>
          <w:rFonts w:ascii="Times New Roman" w:cs="Times New Roman" w:eastAsia="Times New Roman" w:hAnsi="Times New Roman"/>
          <w:sz w:val="21"/>
          <w:szCs w:val="21"/>
          <w:color w:val="auto"/>
        </w:rPr>
        <w:t>. The Administrative Agent shall be entitled to rely upon any Note, notice, consent, certificate, affidavit, letter, electronic mail message, statement, paper or document believed by it to be genuine and correct and to have been signed or sent by the proper Person or Persons, and, in respect to legal matters, upon the opinion of counsel selected by the Administrative Agent, which counsel may be employees of the Administrative Agent. For purposes of determining compliance with the conditions specified in Sections 4.1 and 4.2,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applicable date specifying its objection thereto.</w:t>
      </w:r>
    </w:p>
    <w:p>
      <w:pPr>
        <w:spacing w:after="0" w:line="2" w:lineRule="exact"/>
        <w:rPr>
          <w:sz w:val="20"/>
          <w:szCs w:val="20"/>
          <w:color w:val="auto"/>
        </w:rPr>
      </w:pPr>
    </w:p>
    <w:p>
      <w:pPr>
        <w:jc w:val="both"/>
        <w:ind w:firstLine="642"/>
        <w:spacing w:after="0" w:line="256" w:lineRule="auto"/>
        <w:rPr>
          <w:sz w:val="20"/>
          <w:szCs w:val="20"/>
          <w:color w:val="auto"/>
        </w:rPr>
      </w:pPr>
      <w:r>
        <w:rPr>
          <w:rFonts w:ascii="Times New Roman" w:cs="Times New Roman" w:eastAsia="Times New Roman" w:hAnsi="Times New Roman"/>
          <w:sz w:val="21"/>
          <w:szCs w:val="21"/>
          <w:color w:val="auto"/>
        </w:rPr>
        <w:t xml:space="preserve">10.8. </w:t>
      </w:r>
      <w:r>
        <w:rPr>
          <w:rFonts w:ascii="Times New Roman" w:cs="Times New Roman" w:eastAsia="Times New Roman" w:hAnsi="Times New Roman"/>
          <w:sz w:val="21"/>
          <w:szCs w:val="21"/>
          <w:u w:val="single" w:color="auto"/>
          <w:color w:val="auto"/>
        </w:rPr>
        <w:t>Administrative Agent’s Reimbursement and Indemnification</w:t>
      </w:r>
      <w:r>
        <w:rPr>
          <w:rFonts w:ascii="Times New Roman" w:cs="Times New Roman" w:eastAsia="Times New Roman" w:hAnsi="Times New Roman"/>
          <w:sz w:val="21"/>
          <w:szCs w:val="21"/>
          <w:color w:val="auto"/>
        </w:rPr>
        <w:t xml:space="preserve">. The Lenders agree to reimburse and indemnify the Administrative Agent ratably in proportion to their respective Pro Rata Shares (determined without excluding the Defaulting Lenders) (i) for any amounts not reimbursed by the Borrower for which the Administrative Agent is entitled to reimbursement by the Borrower under the Loan Documents, (ii) for any other expenses incurred by the Administrative Agent on behalf of the Lenders, in connection with the preparation, execution, delivery, administration and enforcement of the Loan Documents (including for any expenses incurred by the Administrative Agent in connection with any dispute between the Administrative Agent and any Lender or between two or more of the Lenders) and (iii) for any liabilities, obligations, losses, damages, penalties, actions, judgments, suits, costs, expenses or disbursements of any kind and nature whatsoever which may be imposed on, incurred by or asserted against the Administrative Agent in any way relating to or arising out of the Loan Documents or any other document delivered in connection therewith or the transactions contemplated thereby (including for any such amounts incurred by or asserted against the Administrative Agent in connection with any dispute between the Administrative Agent and any Lender or between two or more of the Lenders), or the enforcement of any of the terms of the Loan Documents or of any such other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no Lender shall be liable for any of the foregoing to the extent any of the foregoing is found in a final non-appealable judgment by a court of competent jurisdiction to have resulted from the gross negligence or willful misconduct of the Administrative Agent and (ii) any indemnification required pursuant to Section 3.5(d) shall, notwithstanding the provisions of this Section 10.8, be paid by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409" w:right="339" w:bottom="1440" w:gutter="0" w:footer="0" w:header="0"/>
        </w:sectPr>
      </w:pPr>
    </w:p>
    <w:bookmarkStart w:id="102" w:name="page103"/>
    <w:bookmarkEnd w:id="102"/>
    <w:p>
      <w:pPr>
        <w:jc w:val="both"/>
        <w:spacing w:after="0" w:line="264" w:lineRule="auto"/>
        <w:rPr>
          <w:sz w:val="20"/>
          <w:szCs w:val="20"/>
          <w:color w:val="auto"/>
        </w:rPr>
      </w:pPr>
      <w:r>
        <w:rPr>
          <w:rFonts w:ascii="Times New Roman" w:cs="Times New Roman" w:eastAsia="Times New Roman" w:hAnsi="Times New Roman"/>
          <w:sz w:val="21"/>
          <w:szCs w:val="21"/>
          <w:color w:val="auto"/>
        </w:rPr>
        <w:t>Lender in accordance with the provisions thereof. The obligations of the Lenders under this Section 10.8 shall survive payment of the Obligations and termination of this Agreement.</w:t>
      </w:r>
    </w:p>
    <w:p>
      <w:pPr>
        <w:spacing w:after="0" w:line="1"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10.9. </w:t>
      </w:r>
      <w:r>
        <w:rPr>
          <w:rFonts w:ascii="Times New Roman" w:cs="Times New Roman" w:eastAsia="Times New Roman" w:hAnsi="Times New Roman"/>
          <w:sz w:val="21"/>
          <w:szCs w:val="21"/>
          <w:u w:val="single" w:color="auto"/>
          <w:color w:val="auto"/>
        </w:rPr>
        <w:t>Notice of Event of Default</w:t>
      </w:r>
      <w:r>
        <w:rPr>
          <w:rFonts w:ascii="Times New Roman" w:cs="Times New Roman" w:eastAsia="Times New Roman" w:hAnsi="Times New Roman"/>
          <w:sz w:val="21"/>
          <w:szCs w:val="21"/>
          <w:color w:val="auto"/>
        </w:rPr>
        <w:t xml:space="preserve">.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prompt notice thereof to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except as expressly set forth in the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w:t>
      </w:r>
    </w:p>
    <w:p>
      <w:pPr>
        <w:spacing w:after="0" w:line="242"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10.10. </w:t>
      </w:r>
      <w:r>
        <w:rPr>
          <w:rFonts w:ascii="Times New Roman" w:cs="Times New Roman" w:eastAsia="Times New Roman" w:hAnsi="Times New Roman"/>
          <w:sz w:val="21"/>
          <w:szCs w:val="21"/>
          <w:u w:val="single" w:color="auto"/>
          <w:color w:val="auto"/>
        </w:rPr>
        <w:t>Rights as a Lender</w:t>
      </w:r>
      <w:r>
        <w:rPr>
          <w:rFonts w:ascii="Times New Roman" w:cs="Times New Roman" w:eastAsia="Times New Roman" w:hAnsi="Times New Roman"/>
          <w:sz w:val="21"/>
          <w:szCs w:val="21"/>
          <w:color w:val="auto"/>
        </w:rPr>
        <w:t>. In the event the Administrative Agent is a Lender, the Administrative Agent shall have the same rights and powers hereunder and under any other Loan Document with respect to its Commitment and its Loans as any Lender and may exercise the same as though it were not the Administrative Agent, and the term “Lender” or “Lenders” shall, at any time when the Administrative Agent is a Lender, unless the context otherwise indicates, include the Administrative Agent in its individual capacity. The Administrative Agent and its Affiliates may accept deposits from, lend money to, and generally engage in any kind of trust, debt, equity or other transaction, in addition to those contemplated by this Agreement or any other Loan Document, with the Borrower or any of its Subsidiaries in which the Borrower or such Subsidiary is not restricted hereby from engaging with any other Person.</w:t>
      </w:r>
    </w:p>
    <w:p>
      <w:pPr>
        <w:spacing w:after="0" w:line="2"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1"/>
          <w:szCs w:val="21"/>
          <w:color w:val="auto"/>
        </w:rPr>
        <w:t>10.11.</w:t>
      </w:r>
      <w:r>
        <w:rPr>
          <w:sz w:val="20"/>
          <w:szCs w:val="20"/>
          <w:color w:val="auto"/>
        </w:rPr>
        <w:tab/>
      </w:r>
      <w:r>
        <w:rPr>
          <w:rFonts w:ascii="Times New Roman" w:cs="Times New Roman" w:eastAsia="Times New Roman" w:hAnsi="Times New Roman"/>
          <w:sz w:val="21"/>
          <w:szCs w:val="21"/>
          <w:u w:val="single" w:color="auto"/>
          <w:color w:val="auto"/>
        </w:rPr>
        <w:t>Lender Credit Decision, Legal Representation.</w:t>
      </w:r>
    </w:p>
    <w:p>
      <w:pPr>
        <w:spacing w:after="0" w:line="216" w:lineRule="exact"/>
        <w:rPr>
          <w:sz w:val="20"/>
          <w:szCs w:val="20"/>
          <w:color w:val="auto"/>
        </w:rPr>
      </w:pPr>
    </w:p>
    <w:p>
      <w:pPr>
        <w:jc w:val="both"/>
        <w:ind w:firstLine="1291"/>
        <w:spacing w:after="0" w:line="258" w:lineRule="auto"/>
        <w:tabs>
          <w:tab w:leader="none" w:pos="174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acknowledges that it has, independently and without reliance upon the Administrative Agent, the Arrangers or any other Lender and based on the financial statements prepared by the Borrower and such other documents and information as it has deemed appropriate, made its own credit analysis and decision to enter into this Agreement and the other Loan Documents. Each Lender also acknowledges that it will, independently and without reliance upon the Administrative Agent, the Arrangers or any other Lender and based on such documents and information as it shall deem appropriate at the time, continue to make its own credit decisions in taking or not taking action under this Agreement and the other Loan Documents. Except for any notice, report, document or other information expressly required to be furnished to the Lenders by the Administrative Agent or any Arranger hereunder, neither the Administrative Agent nor the Arrangers shall have any duty or responsibility (either initially or on a continuing basis) to provide any Lender with any notice, report, document, credit information or other information concerning the affairs, financial condition or business of the Borrower or any of its Affiliates that may come into the possession of the Administrative Agent or any Arranger (whether or not in their respective capacity as Administrative Agent or any Arranger) or any of their Affiliates.</w:t>
      </w:r>
    </w:p>
    <w:p>
      <w:pPr>
        <w:spacing w:after="0" w:line="174" w:lineRule="exact"/>
        <w:rPr>
          <w:rFonts w:ascii="Times New Roman" w:cs="Times New Roman" w:eastAsia="Times New Roman" w:hAnsi="Times New Roman"/>
          <w:sz w:val="21"/>
          <w:szCs w:val="21"/>
          <w:color w:val="auto"/>
        </w:rPr>
      </w:pPr>
    </w:p>
    <w:p>
      <w:pPr>
        <w:jc w:val="both"/>
        <w:ind w:firstLine="1291"/>
        <w:spacing w:after="0" w:line="271" w:lineRule="auto"/>
        <w:tabs>
          <w:tab w:leader="none" w:pos="188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further acknowledges that it has had the opportunity to be represented by legal counsel in connection with its execution of this Agreement and the other Loan Documents, that it has made its own evaluation of all applicable Laws relating to the transactions contemplated hereby, and that the counsel to the Administrative Agent represents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1240"/>
          </w:cols>
          <w:pgMar w:left="320" w:top="140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1"/>
          <w:szCs w:val="21"/>
          <w:color w:val="auto"/>
        </w:rPr>
        <w:t>only the Administrative Agent and not the Lenders in connection with this Agreement and the transactions contemplated hereby.</w:t>
      </w:r>
    </w:p>
    <w:p>
      <w:pPr>
        <w:spacing w:after="0" w:line="227"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10.12. </w:t>
      </w: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 The Administrative Agent may resign at any time by giving written notice thereof to the Lenders and the Borrower, such resignation to be effective upon the appointment of a successor Administrative Agent or, if no successor Administrative Agent has been appointed, thirty (30) days after the retiring Administrative Agent gives notice of its intention to resign. Upon any such resignation, the Required Lenders shall have the right to appoint (with the consent of the Borrower as long as no Event of Default exists), on behalf of the Borrower and the Lenders, a successor Administrative Agent. If no successor Administrative Agent shall have been so appointed by the Required Lenders within fifteen (15) days after the resigning Administrative Agent’s giving notice of its intention to resign, then the resigning Administrative Agent may appoint (with the consent of the Borrower so long as no Event of Default exists), on behalf of the Borrower and the Lenders, a successor Administrative Agent. Notwithstanding the previous sentence, the Administrative Agent may at any time without the consent of the Borrower or any Lender, appoint any of its Affiliates which is a commercial bank as a successor Administrative Agent hereunder. If the Administrative Agent has resigned and no successor Administrative Agent has been appointed, the Lenders may perform all the duties of the Administrative Agent hereunder and the Borrower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Upon the acceptance of any appointment as Administrative Agent hereunder by a successor Administrative Agent, such successor Administrative Agent shall thereupon succeed to and become vested with all the rights, powers, privileges and duties of the resigning Administrative Agent. Upon the effectiveness of the resignation of the Administrative Agent, the resigning Administrative Agent shall be discharged from its duties and obligations hereunder and under the Loan Documents. After the effectiveness of the resignation of an Administrative Agent, the provisions of this Article X shall continue in effect for the benefit of such Administrative Agent in respect of any actions taken or omitted to be taken by it while it was acting as the Administrative Agent hereunder and under the other Loan Documents. In the event that there is a successor to the Administrative Agent by merger, or the Administrative Agent assigns its duties and obligations to an Affiliate pursuant to this Section 10.12, then the term “Prime Rate” as used in this Agreement shall mean the prime rate, base rate or other analogous rate of the new Administrative Agent.</w:t>
      </w:r>
    </w:p>
    <w:p>
      <w:pPr>
        <w:spacing w:after="0" w:line="242"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10.13. </w:t>
      </w:r>
      <w:r>
        <w:rPr>
          <w:rFonts w:ascii="Times New Roman" w:cs="Times New Roman" w:eastAsia="Times New Roman" w:hAnsi="Times New Roman"/>
          <w:sz w:val="21"/>
          <w:szCs w:val="21"/>
          <w:u w:val="single" w:color="auto"/>
          <w:color w:val="auto"/>
        </w:rPr>
        <w:t>Administrative Agent and Arranger Fees</w:t>
      </w:r>
      <w:r>
        <w:rPr>
          <w:rFonts w:ascii="Times New Roman" w:cs="Times New Roman" w:eastAsia="Times New Roman" w:hAnsi="Times New Roman"/>
          <w:sz w:val="21"/>
          <w:szCs w:val="21"/>
          <w:color w:val="auto"/>
        </w:rPr>
        <w:t>. The Borrower agrees to pay certain fees to each of the Administrative Agent and the Arrangers pursuant to the following letter agreements (as the same may be amended, restated, supplemented or otherwise modified from time to time, collectively, the “Fee Letters”, and each a “Fee Letter”): (i) Fee Letter, dated as of March 25, 2026, by and between the Borrower and U.S. Bank; and (ii) such other fee letters from time to time delivered under or in connection herewith as agreed to by the Borrower and the Administrative Agent (which may include one or more of the Arrangers).</w:t>
      </w:r>
    </w:p>
    <w:p>
      <w:pPr>
        <w:spacing w:after="0" w:line="240"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10.14. </w:t>
      </w:r>
      <w:r>
        <w:rPr>
          <w:rFonts w:ascii="Times New Roman" w:cs="Times New Roman" w:eastAsia="Times New Roman" w:hAnsi="Times New Roman"/>
          <w:sz w:val="21"/>
          <w:szCs w:val="21"/>
          <w:u w:val="single" w:color="auto"/>
          <w:color w:val="auto"/>
        </w:rPr>
        <w:t>Delegation to Affiliates</w:t>
      </w:r>
      <w:r>
        <w:rPr>
          <w:rFonts w:ascii="Times New Roman" w:cs="Times New Roman" w:eastAsia="Times New Roman" w:hAnsi="Times New Roman"/>
          <w:sz w:val="21"/>
          <w:szCs w:val="21"/>
          <w:color w:val="auto"/>
        </w:rPr>
        <w:t>. The Borrower and the Lenders agree that the Administrative Agent may delegate any of its duties under this Agreement to any of its Affiliates. Any such Affiliate (and such Affiliate’s directors, officers, agents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1240"/>
          </w:cols>
          <w:pgMar w:left="320" w:top="1409" w:right="339" w:bottom="1440" w:gutter="0" w:footer="0" w:header="0"/>
        </w:sectPr>
      </w:pPr>
    </w:p>
    <w:bookmarkStart w:id="104" w:name="page105"/>
    <w:bookmarkEnd w:id="104"/>
    <w:p>
      <w:pPr>
        <w:jc w:val="both"/>
        <w:spacing w:after="0" w:line="264" w:lineRule="auto"/>
        <w:rPr>
          <w:sz w:val="20"/>
          <w:szCs w:val="20"/>
          <w:color w:val="auto"/>
        </w:rPr>
      </w:pPr>
      <w:r>
        <w:rPr>
          <w:rFonts w:ascii="Times New Roman" w:cs="Times New Roman" w:eastAsia="Times New Roman" w:hAnsi="Times New Roman"/>
          <w:sz w:val="21"/>
          <w:szCs w:val="21"/>
          <w:color w:val="auto"/>
        </w:rPr>
        <w:t>which performs duties in connection with this Agreement shall be entitled to the same benefits of the indemnification, waiver and other protective provisions to which the Administrative Agent is entitled under Articles IX and X.</w:t>
      </w:r>
    </w:p>
    <w:p>
      <w:pPr>
        <w:spacing w:after="0" w:line="1"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10.15. </w:t>
      </w:r>
      <w:r>
        <w:rPr>
          <w:rFonts w:ascii="Times New Roman" w:cs="Times New Roman" w:eastAsia="Times New Roman" w:hAnsi="Times New Roman"/>
          <w:sz w:val="21"/>
          <w:szCs w:val="21"/>
          <w:u w:val="single" w:color="auto"/>
          <w:color w:val="auto"/>
        </w:rPr>
        <w:t>Guarantor Releases</w:t>
      </w:r>
      <w:r>
        <w:rPr>
          <w:rFonts w:ascii="Times New Roman" w:cs="Times New Roman" w:eastAsia="Times New Roman" w:hAnsi="Times New Roman"/>
          <w:sz w:val="21"/>
          <w:szCs w:val="21"/>
          <w:color w:val="auto"/>
        </w:rPr>
        <w:t>. The Lenders authorize the Administrative Agent to release any Guarantor from its obligations under the Loan Documents if such Person is no longer required to be a Guarantor hereunder or if such Person is sold, transferred or assigned or ceases to be a Wholly-Owned Subsidiary of the Borrower in accordance with and to the extent permitted by the terms of this Agreement. Upon the request of the Administrative Agent at any time, the Required Lenders will confirm in writing the Administrative Agent’s authority to release any Guarantor from its obligations under the Loan Documents pursuant to the foregoing. In each case as specified hereto, the Administrative Agent may (and each Lender hereby authorizes the Administrative Agent to), at the Borrower’s expense, execute and deliver to the applicable Loan Party such documents as such Loan Party may reasonably request to evidence the release a Guarantor from its obligations under the Guaranty in accordance with the terms of the Loan Documents.</w:t>
      </w:r>
    </w:p>
    <w:p>
      <w:pPr>
        <w:spacing w:after="0" w:line="245"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10.16. </w:t>
      </w:r>
      <w:r>
        <w:rPr>
          <w:rFonts w:ascii="Times New Roman" w:cs="Times New Roman" w:eastAsia="Times New Roman" w:hAnsi="Times New Roman"/>
          <w:sz w:val="21"/>
          <w:szCs w:val="21"/>
          <w:u w:val="single" w:color="auto"/>
          <w:color w:val="auto"/>
        </w:rPr>
        <w:t>Co-Syndication Agents, etc</w:t>
      </w:r>
      <w:r>
        <w:rPr>
          <w:rFonts w:ascii="Times New Roman" w:cs="Times New Roman" w:eastAsia="Times New Roman" w:hAnsi="Times New Roman"/>
          <w:sz w:val="21"/>
          <w:szCs w:val="21"/>
          <w:color w:val="auto"/>
        </w:rPr>
        <w:t>. Neither any of the Lenders identified in this Agreement as a “co-agent” or a “book runner,” nor any Syndication Agent or any Arranger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such Lenders as it makes with respect to the Administrative Agent in Section 10.11.</w:t>
      </w:r>
    </w:p>
    <w:p>
      <w:pPr>
        <w:spacing w:after="0" w:line="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10.17. </w:t>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any Arranger and any book runner and the Lenders are arm’s-length commercial transactions between the Borrower and its Affiliates, on the one hand, and the Administrative Agent, any Arranger and any book runner and the Lenders, on the other hand,</w:t>
      </w:r>
    </w:p>
    <w:p>
      <w:pPr>
        <w:spacing w:after="0" w:line="1" w:lineRule="exact"/>
        <w:rPr>
          <w:sz w:val="20"/>
          <w:szCs w:val="20"/>
          <w:color w:val="auto"/>
        </w:rPr>
      </w:pPr>
    </w:p>
    <w:p>
      <w:pPr>
        <w:ind w:left="360" w:hanging="353"/>
        <w:spacing w:after="0"/>
        <w:tabs>
          <w:tab w:leader="none" w:pos="3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consulted its own legal, accounting, regulatory and tax advisors to the extent it has deemed appropriate, and</w:t>
      </w:r>
    </w:p>
    <w:p>
      <w:pPr>
        <w:spacing w:after="0" w:line="12" w:lineRule="exact"/>
        <w:rPr>
          <w:rFonts w:ascii="Times New Roman" w:cs="Times New Roman" w:eastAsia="Times New Roman" w:hAnsi="Times New Roman"/>
          <w:sz w:val="21"/>
          <w:szCs w:val="21"/>
          <w:color w:val="auto"/>
        </w:rPr>
      </w:pPr>
    </w:p>
    <w:p>
      <w:pPr>
        <w:jc w:val="both"/>
        <w:ind w:firstLine="7"/>
        <w:spacing w:after="0" w:line="256" w:lineRule="auto"/>
        <w:tabs>
          <w:tab w:leader="none" w:pos="38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is capable of evaluating, and understands and accepts, the terms, risks and conditions of the transactions contemplated hereby and by the other Loan Documents; (ii) (A) each of the Administrative Agent, any Arranger and any book runner and the Lenders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any Arranger and any book runner nor any Lender has any obligation to the Borrower or any of its Affiliates with respect to the transactions contemplated hereby except those obligations expressly set forth herein and in the other Loan Documents; and (iii) the Administrative Agent, any Arranger and any book runner and each of the Lenders and their respective Affiliates may be engaged in a broad range of transactions that involve interests that differ from those of the Borrower and its Affiliates, and neither the Administrative Agent, any Arranger and any book runner nor any Lender has any obligation to disclose any of such interests to the Borrower or its Affiliates. To the fullest extent permitted by Law, the Borrower hereby waives and releases any claims that it may have against the Administrative Agent, any Arranger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1240"/>
          </w:cols>
          <w:pgMar w:left="320" w:top="1409" w:right="339" w:bottom="1440" w:gutter="0" w:footer="0" w:header="0"/>
        </w:sectPr>
      </w:pPr>
    </w:p>
    <w:bookmarkStart w:id="105" w:name="page106"/>
    <w:bookmarkEnd w:id="105"/>
    <w:p>
      <w:pPr>
        <w:spacing w:after="0" w:line="264" w:lineRule="auto"/>
        <w:rPr>
          <w:sz w:val="20"/>
          <w:szCs w:val="20"/>
          <w:color w:val="auto"/>
        </w:rPr>
      </w:pPr>
      <w:r>
        <w:rPr>
          <w:rFonts w:ascii="Times New Roman" w:cs="Times New Roman" w:eastAsia="Times New Roman" w:hAnsi="Times New Roman"/>
          <w:sz w:val="21"/>
          <w:szCs w:val="21"/>
          <w:color w:val="auto"/>
        </w:rPr>
        <w:t>and any book runner and each of the Lenders with respect to any breach or alleged breach of agency or fiduciary duty in connection with any aspect of any transaction contemplated hereby.</w:t>
      </w:r>
    </w:p>
    <w:p>
      <w:pPr>
        <w:spacing w:after="0" w:line="1"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1"/>
          <w:szCs w:val="21"/>
          <w:color w:val="auto"/>
        </w:rPr>
        <w:t>10.18.</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291"/>
        <w:spacing w:after="0" w:line="264" w:lineRule="auto"/>
        <w:tabs>
          <w:tab w:leader="none" w:pos="175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60" w:lineRule="exact"/>
        <w:rPr>
          <w:rFonts w:ascii="Times New Roman" w:cs="Times New Roman" w:eastAsia="Times New Roman" w:hAnsi="Times New Roman"/>
          <w:sz w:val="21"/>
          <w:szCs w:val="21"/>
          <w:color w:val="auto"/>
        </w:rPr>
      </w:pPr>
    </w:p>
    <w:p>
      <w:pPr>
        <w:jc w:val="both"/>
        <w:ind w:left="640" w:firstLine="1293"/>
        <w:spacing w:after="0" w:line="277" w:lineRule="auto"/>
        <w:tabs>
          <w:tab w:leader="none" w:pos="2355"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Section 3(42) of ERISA or otherwise) of one or more Benefit Plans with respect to such Lender’s entrance into, participation in, administration of and performance of the Loans, the Facility LCs, the Commitments or this Agreement,</w:t>
      </w:r>
    </w:p>
    <w:p>
      <w:pPr>
        <w:spacing w:after="0" w:line="46" w:lineRule="exact"/>
        <w:rPr>
          <w:rFonts w:ascii="Times New Roman" w:cs="Times New Roman" w:eastAsia="Times New Roman" w:hAnsi="Times New Roman"/>
          <w:sz w:val="21"/>
          <w:szCs w:val="21"/>
          <w:color w:val="auto"/>
        </w:rPr>
      </w:pPr>
    </w:p>
    <w:p>
      <w:pPr>
        <w:jc w:val="both"/>
        <w:ind w:left="640" w:firstLine="1293"/>
        <w:spacing w:after="0" w:line="260" w:lineRule="auto"/>
        <w:tabs>
          <w:tab w:leader="none" w:pos="246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Facility LCs, the Commitments and this Agreement,</w:t>
      </w:r>
    </w:p>
    <w:p>
      <w:pPr>
        <w:spacing w:after="0" w:line="67" w:lineRule="exact"/>
        <w:rPr>
          <w:rFonts w:ascii="Times New Roman" w:cs="Times New Roman" w:eastAsia="Times New Roman" w:hAnsi="Times New Roman"/>
          <w:sz w:val="21"/>
          <w:szCs w:val="21"/>
          <w:color w:val="auto"/>
        </w:rPr>
      </w:pPr>
    </w:p>
    <w:p>
      <w:pPr>
        <w:jc w:val="both"/>
        <w:ind w:left="640" w:firstLine="1293"/>
        <w:spacing w:after="0" w:line="261" w:lineRule="auto"/>
        <w:tabs>
          <w:tab w:leader="none" w:pos="2471"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Facility LCs, the Commitments and this Agreement, (C) the entrance into, participation in, administration of and performance of the Loans, the Facility LCs,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Facility LCs, the Commitments and this Agreement, or</w:t>
      </w:r>
    </w:p>
    <w:p>
      <w:pPr>
        <w:spacing w:after="0" w:line="65" w:lineRule="exact"/>
        <w:rPr>
          <w:rFonts w:ascii="Times New Roman" w:cs="Times New Roman" w:eastAsia="Times New Roman" w:hAnsi="Times New Roman"/>
          <w:sz w:val="21"/>
          <w:szCs w:val="21"/>
          <w:color w:val="auto"/>
        </w:rPr>
      </w:pPr>
    </w:p>
    <w:p>
      <w:pPr>
        <w:ind w:left="640" w:firstLine="1293"/>
        <w:spacing w:after="0" w:line="289" w:lineRule="auto"/>
        <w:tabs>
          <w:tab w:leader="none" w:pos="2699"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Lender.</w:t>
      </w:r>
    </w:p>
    <w:p>
      <w:pPr>
        <w:spacing w:after="0" w:line="33" w:lineRule="exact"/>
        <w:rPr>
          <w:rFonts w:ascii="Times New Roman" w:cs="Times New Roman" w:eastAsia="Times New Roman" w:hAnsi="Times New Roman"/>
          <w:sz w:val="21"/>
          <w:szCs w:val="21"/>
          <w:color w:val="auto"/>
        </w:rPr>
      </w:pPr>
    </w:p>
    <w:p>
      <w:pPr>
        <w:jc w:val="both"/>
        <w:ind w:firstLine="1291"/>
        <w:spacing w:after="0" w:line="262" w:lineRule="auto"/>
        <w:tabs>
          <w:tab w:leader="none" w:pos="1815"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1240"/>
          </w:cols>
          <w:pgMar w:left="320" w:top="1409" w:right="339" w:bottom="1440" w:gutter="0" w:footer="0" w:header="0"/>
        </w:sectPr>
      </w:pPr>
    </w:p>
    <w:bookmarkStart w:id="106" w:name="page107"/>
    <w:bookmarkEnd w:id="106"/>
    <w:p>
      <w:pPr>
        <w:jc w:val="both"/>
        <w:spacing w:after="0" w:line="269" w:lineRule="auto"/>
        <w:rPr>
          <w:sz w:val="20"/>
          <w:szCs w:val="20"/>
          <w:color w:val="auto"/>
        </w:rPr>
      </w:pPr>
      <w:r>
        <w:rPr>
          <w:rFonts w:ascii="Times New Roman" w:cs="Times New Roman" w:eastAsia="Times New Roman" w:hAnsi="Times New Roman"/>
          <w:sz w:val="21"/>
          <w:szCs w:val="21"/>
          <w:color w:val="auto"/>
        </w:rPr>
        <w:t>Party, that the Administrative Agent is not a fiduciary with respect to the assets of such Lender involved in such Lender’s entrance into, participation in, administration of and performance of the Loans, the Facility LCs, the Commitments and this Agreement (including in connection with the reservation or exercise of any rights by the Administrative Agent under this Agreement, any Loan Document or any documents related hereto or thereto).</w:t>
      </w:r>
    </w:p>
    <w:p>
      <w:pPr>
        <w:spacing w:after="0" w:line="108"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1"/>
          <w:szCs w:val="21"/>
          <w:color w:val="auto"/>
        </w:rPr>
        <w:t>10.19.</w:t>
      </w:r>
      <w:r>
        <w:rPr>
          <w:sz w:val="20"/>
          <w:szCs w:val="20"/>
          <w:color w:val="auto"/>
        </w:rPr>
        <w:tab/>
      </w:r>
      <w:r>
        <w:rPr>
          <w:rFonts w:ascii="Times New Roman" w:cs="Times New Roman" w:eastAsia="Times New Roman" w:hAnsi="Times New Roman"/>
          <w:sz w:val="21"/>
          <w:szCs w:val="21"/>
          <w:u w:val="single" w:color="auto"/>
          <w:color w:val="auto"/>
        </w:rPr>
        <w:t>Erroneous Payments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1291"/>
        <w:spacing w:after="0" w:line="256" w:lineRule="auto"/>
        <w:tabs>
          <w:tab w:leader="none" w:pos="1781"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notifies a Lender, LC Issuer or other holder of any Obligations (each, a “Lender Party”), or any Person who has received funds on behalf of a Lender Party (any such Lender Party or other recipient, a “Payment Recipient”), that the Administrative Agent has determined in its sole discretion (whether or not after receipt of any notice under Section 10.19 (b)) that any funds received by such Payment Recipient from the Administrative Agent or any of its Affiliates were erroneously transmitted to, or otherwise erroneously received by, such Payment Recipient (whether or not such error is known to any Payment Recipient)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8" w:lineRule="exact"/>
        <w:rPr>
          <w:rFonts w:ascii="Times New Roman" w:cs="Times New Roman" w:eastAsia="Times New Roman" w:hAnsi="Times New Roman"/>
          <w:sz w:val="21"/>
          <w:szCs w:val="21"/>
          <w:color w:val="auto"/>
        </w:rPr>
      </w:pPr>
    </w:p>
    <w:p>
      <w:pPr>
        <w:jc w:val="both"/>
        <w:ind w:firstLine="1291"/>
        <w:spacing w:after="0" w:line="254" w:lineRule="auto"/>
        <w:tabs>
          <w:tab w:leader="none" w:pos="181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Section 10.19(a),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 prepayment or repayment, (y) was not preceded or accompanied by a notice of payment, prepayment or repayment sent by the Administrative Agent (or any of its Affiliates), or (z) such Payment Recipient otherwise becomes aware was transmitted, or received, in error (in whole or in part):</w:t>
      </w:r>
    </w:p>
    <w:p>
      <w:pPr>
        <w:spacing w:after="0" w:line="3" w:lineRule="exact"/>
        <w:rPr>
          <w:rFonts w:ascii="Times New Roman" w:cs="Times New Roman" w:eastAsia="Times New Roman" w:hAnsi="Times New Roman"/>
          <w:sz w:val="21"/>
          <w:szCs w:val="21"/>
          <w:color w:val="auto"/>
        </w:rPr>
      </w:pPr>
    </w:p>
    <w:p>
      <w:pPr>
        <w:jc w:val="both"/>
        <w:ind w:left="640" w:firstLine="1293"/>
        <w:spacing w:after="0" w:line="265" w:lineRule="auto"/>
        <w:tabs>
          <w:tab w:leader="none" w:pos="242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in the case of immediately preceding clause (x) or (y), an error shall be presumed to have been made (absent written confirmation from the Administrative Agent to the contrary) or (B) in the case of immediately preceding clause (z), an error has been made, in each case, with respect to such payment, prepayment or repayment;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40"/>
          </w:cols>
          <w:pgMar w:left="320" w:top="1409" w:right="339" w:bottom="1440" w:gutter="0" w:footer="0" w:header="0"/>
        </w:sectPr>
      </w:pPr>
    </w:p>
    <w:bookmarkStart w:id="107" w:name="page108"/>
    <w:bookmarkEnd w:id="107"/>
    <w:p>
      <w:pPr>
        <w:jc w:val="both"/>
        <w:ind w:left="640" w:firstLine="1293"/>
        <w:spacing w:after="0" w:line="260" w:lineRule="auto"/>
        <w:tabs>
          <w:tab w:leader="none" w:pos="2436"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Payment Recipient shall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10.19(b).</w:t>
      </w:r>
    </w:p>
    <w:p>
      <w:pPr>
        <w:spacing w:after="0" w:line="2" w:lineRule="exact"/>
        <w:rPr>
          <w:rFonts w:ascii="Times New Roman" w:cs="Times New Roman" w:eastAsia="Times New Roman" w:hAnsi="Times New Roman"/>
          <w:sz w:val="21"/>
          <w:szCs w:val="21"/>
          <w:color w:val="auto"/>
        </w:rPr>
      </w:pPr>
    </w:p>
    <w:p>
      <w:pPr>
        <w:jc w:val="both"/>
        <w:ind w:firstLine="1291"/>
        <w:spacing w:after="0" w:line="255" w:lineRule="auto"/>
        <w:tabs>
          <w:tab w:leader="none" w:pos="174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Party hereby authorizes the Administrative Agent to set off, net and apply any and all amounts at any time owing to such Lender Party under any Loan Document, or otherwise payable or distributable by the Administrative Agent to such Lender Party from any source, against any amount due to the Administrative Agent under Section 10.19(a) or under the indemnification provisions of this Agreement.</w:t>
      </w:r>
    </w:p>
    <w:p>
      <w:pPr>
        <w:spacing w:after="0" w:line="2" w:lineRule="exact"/>
        <w:rPr>
          <w:rFonts w:ascii="Times New Roman" w:cs="Times New Roman" w:eastAsia="Times New Roman" w:hAnsi="Times New Roman"/>
          <w:sz w:val="21"/>
          <w:szCs w:val="21"/>
          <w:color w:val="auto"/>
        </w:rPr>
      </w:pPr>
    </w:p>
    <w:p>
      <w:pPr>
        <w:jc w:val="both"/>
        <w:ind w:firstLine="1291"/>
        <w:spacing w:after="0" w:line="256" w:lineRule="auto"/>
        <w:tabs>
          <w:tab w:leader="none" w:pos="176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Erroneous Payment shall not pay, prepay, repay, discharge or otherwise satisfy any Obligations, except to the extent such Erroneous Payment comprises funds received by the Administrative Agent from a Loan Party for the purpose of making such Erroneous Payment.</w:t>
      </w:r>
    </w:p>
    <w:p>
      <w:pPr>
        <w:spacing w:after="0" w:line="2" w:lineRule="exact"/>
        <w:rPr>
          <w:rFonts w:ascii="Times New Roman" w:cs="Times New Roman" w:eastAsia="Times New Roman" w:hAnsi="Times New Roman"/>
          <w:sz w:val="21"/>
          <w:szCs w:val="21"/>
          <w:color w:val="auto"/>
        </w:rPr>
      </w:pPr>
    </w:p>
    <w:p>
      <w:pPr>
        <w:jc w:val="both"/>
        <w:ind w:firstLine="1291"/>
        <w:spacing w:after="0" w:line="252" w:lineRule="auto"/>
        <w:tabs>
          <w:tab w:leader="none" w:pos="181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each Payment Recipient hereby agrees not to assert any right or claim to an Erroneous Payment, and hereby waives, and is deemed to waive, any claim, counterclaim, defense or right of set-off or recoupment, including without limitation any defense based on “discharge for value” or any similar doctrine, with respect to any demand, claim or counterclaim by the Administrative Agent for the return of any Erroneous Payment.</w:t>
      </w:r>
    </w:p>
    <w:p>
      <w:pPr>
        <w:spacing w:after="0" w:line="2" w:lineRule="exact"/>
        <w:rPr>
          <w:rFonts w:ascii="Times New Roman" w:cs="Times New Roman" w:eastAsia="Times New Roman" w:hAnsi="Times New Roman"/>
          <w:sz w:val="21"/>
          <w:szCs w:val="21"/>
          <w:color w:val="auto"/>
        </w:rPr>
      </w:pPr>
    </w:p>
    <w:p>
      <w:pPr>
        <w:jc w:val="both"/>
        <w:ind w:firstLine="1291"/>
        <w:spacing w:after="0" w:line="265" w:lineRule="auto"/>
        <w:tabs>
          <w:tab w:leader="none" w:pos="192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party’s agreements under this Section 10.19 shall survive the resignation or replacement of the Administrative Agent, any transfer of rights or obligations by, or the replacement of, a Lender or LC Issuer, the termination of the Commitments, or the repayment, satisfaction or discharge of any or all Obligations.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SETOFF; RATABLE PAYMENTS</w:t>
      </w:r>
    </w:p>
    <w:p>
      <w:pPr>
        <w:spacing w:after="0" w:line="190"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Setoff</w:t>
      </w:r>
      <w:r>
        <w:rPr>
          <w:rFonts w:ascii="Times New Roman" w:cs="Times New Roman" w:eastAsia="Times New Roman" w:hAnsi="Times New Roman"/>
          <w:sz w:val="21"/>
          <w:szCs w:val="21"/>
          <w:color w:val="auto"/>
        </w:rPr>
        <w:t xml:space="preserve">. In addition to, and without limitation of, any rights of Lenders under applicable Law, if Borrower becomes insolvent, however evidenced, or any Event of Default occurs and is continuing, Borrower authorizes each Lender to offset and apply all deposits, credits and deposit accounts (including all account balances, whether provisional or final and whether or not collected or available) of the Borrower with such Lender or any Affiliate of such Lender toward the payment of the Obligations then due and owing to such Lender and regardless of the existence or adequacy of any collateral, guaranty or any other security, right or remedy available to such Lender or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the event that any Defaulting Lender shall exercise such right of setoff, (x) all amounts so set 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ectPr>
          <w:pgSz w:w="11900" w:h="16838" w:orient="portrait"/>
          <w:cols w:equalWidth="0" w:num="1">
            <w:col w:w="11240"/>
          </w:cols>
          <w:pgMar w:left="320" w:top="1409" w:right="339" w:bottom="1440" w:gutter="0" w:footer="0" w:header="0"/>
        </w:sectPr>
      </w:pPr>
    </w:p>
    <w:bookmarkStart w:id="108" w:name="page109"/>
    <w:bookmarkEnd w:id="108"/>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Ratable Payments</w:t>
      </w:r>
      <w:r>
        <w:rPr>
          <w:rFonts w:ascii="Times New Roman" w:cs="Times New Roman" w:eastAsia="Times New Roman" w:hAnsi="Times New Roman"/>
          <w:sz w:val="21"/>
          <w:szCs w:val="21"/>
          <w:color w:val="auto"/>
        </w:rPr>
        <w:t>. If any Lender, whether by setoff or otherwise, has payment made to it upon its Outstanding Credit Exposure (other than payments received pursuant to Section 3.1, 3.2, 3.4 or 3.5) in a greater proportion than that received by any other Lender, such Lender agrees, promptly upon demand, to purchase a portion of the Aggregate Outstanding Credit Exposure held by the other Lenders so that after such purchase each Lender will hold its Pro Rata Share of the Aggregate Outstanding Credit Exposure.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or other protection ratably in proportion to their respective Pro Rata Shares of the Aggregate Outstanding Credit Exposure. In case any such payment is disturbed by legal process, or otherwise, appropriate further adjustments shall be made.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BENEFIT OF AGREEMENT; ASSIGNMENTS; PARTICIPATIONS</w:t>
      </w:r>
    </w:p>
    <w:p>
      <w:pPr>
        <w:spacing w:after="0" w:line="4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The terms and provisions of the Loan Documents shall be binding upon and inure to the benefit of the Borrower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Section 12.3, and (iii) any transfer by participation must be made in compliance with Section 12.2. Any attempted assignment or transfer by any party not made in compliance with this Section 12.1 shall be null and void, unless such attempted assignment or transfer is treated as a participation in accordance with the terms of this Agreement. The parties to this Agreement acknowledge that clause (ii) of this Section 12.1 relates only to absolute assignments and this Section 12.1 does not prohibit assignments creating security interests, including (x) any pledge or assignment by any Lender of all or any portion of its rights under this Agreement and any Note to a Federal Reserve Bank or (y) in the case of a Lender which is a Fund, any pledge or assignment of all or any portion of its rights under this Agreement and any Note to its trustee in support of its obligations to its trustee;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 such pledge or assignment creating a security interest shall release the transferor Lender from its obligations hereunder unless and until the parties thereto have complied with the provisions of Section 12.3. The Administrative Agent may treat the Person which made any Loan or which holds any Note as the owner thereof for all purposes hereof unless and until such Person complies with Section 12.3;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Administrative Agent may in its discretion (but shall not be required to) follow instructions from the Person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which made any Loan or which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who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spacing w:after="0" w:line="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12.2.</w:t>
      </w:r>
      <w:r>
        <w:rPr>
          <w:sz w:val="20"/>
          <w:szCs w:val="20"/>
          <w:color w:val="auto"/>
        </w:rPr>
        <w:tab/>
      </w: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w:t>
      </w:r>
    </w:p>
    <w:p>
      <w:pPr>
        <w:spacing w:after="0" w:line="42" w:lineRule="exact"/>
        <w:rPr>
          <w:sz w:val="20"/>
          <w:szCs w:val="20"/>
          <w:color w:val="auto"/>
        </w:rPr>
      </w:pPr>
    </w:p>
    <w:p>
      <w:pPr>
        <w:ind w:firstLine="1291"/>
        <w:spacing w:after="0" w:line="289" w:lineRule="auto"/>
        <w:tabs>
          <w:tab w:leader="none" w:pos="186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Permitted Participants; Effect</w:t>
      </w:r>
      <w:r>
        <w:rPr>
          <w:rFonts w:ascii="Times New Roman" w:cs="Times New Roman" w:eastAsia="Times New Roman" w:hAnsi="Times New Roman"/>
          <w:sz w:val="21"/>
          <w:szCs w:val="21"/>
          <w:color w:val="auto"/>
        </w:rPr>
        <w:t>. Any Lender may at any time sell to one or more entities (“Participants”) participating interests in any Outstanding Credit Exposure owing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240"/>
          </w:cols>
          <w:pgMar w:left="320" w:top="1409" w:right="339" w:bottom="1440" w:gutter="0" w:footer="0" w:header="0"/>
        </w:sectPr>
      </w:pPr>
    </w:p>
    <w:bookmarkStart w:id="109" w:name="page110"/>
    <w:bookmarkEnd w:id="109"/>
    <w:p>
      <w:pPr>
        <w:jc w:val="both"/>
        <w:spacing w:after="0" w:line="260" w:lineRule="auto"/>
        <w:rPr>
          <w:sz w:val="20"/>
          <w:szCs w:val="20"/>
          <w:color w:val="auto"/>
        </w:rPr>
      </w:pPr>
      <w:r>
        <w:rPr>
          <w:rFonts w:ascii="Times New Roman" w:cs="Times New Roman" w:eastAsia="Times New Roman" w:hAnsi="Times New Roman"/>
          <w:sz w:val="21"/>
          <w:szCs w:val="21"/>
          <w:color w:val="auto"/>
        </w:rPr>
        <w:t>such Lender, any Note held by such Lender, any Commitment 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Outstanding Credit Exposure and the holder of any Note issued to it in evidence thereof for all purposes under the Loan Documents, all amounts payable by the Borrower under this Agreement shall be determined as if such Lender had not sold such participating interests, and the Borrower and the Administrative Agent shall continue to deal solely and directly with such Lender in connection with such Lender’s rights and obligations under the Loan Documents.</w:t>
      </w:r>
    </w:p>
    <w:p>
      <w:pPr>
        <w:spacing w:after="0" w:line="200" w:lineRule="exact"/>
        <w:rPr>
          <w:sz w:val="20"/>
          <w:szCs w:val="20"/>
          <w:color w:val="auto"/>
        </w:rPr>
      </w:pPr>
    </w:p>
    <w:p>
      <w:pPr>
        <w:spacing w:after="0" w:line="242" w:lineRule="exact"/>
        <w:rPr>
          <w:sz w:val="20"/>
          <w:szCs w:val="20"/>
          <w:color w:val="auto"/>
        </w:rPr>
      </w:pPr>
    </w:p>
    <w:p>
      <w:pPr>
        <w:jc w:val="both"/>
        <w:ind w:firstLine="1291"/>
        <w:spacing w:after="0" w:line="261" w:lineRule="auto"/>
        <w:tabs>
          <w:tab w:leader="none" w:pos="1774"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 xml:space="preserve">. Each Lender shall retain the sole right to approve, without the consent of any Participant, any amendment, modification or waiver of any provision of the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such Lender may agree in its participation agreement with its Participant that such Lender will not vote to approve any amendment, modification or waiver with respect to any Outstanding Credit Exposure or Commitment in which such Participant has an interest which would require consent of all of the Lenders pursuant to the terms of Section 8.3 or of any other Loan Document.</w:t>
      </w:r>
    </w:p>
    <w:p>
      <w:pPr>
        <w:spacing w:after="0" w:line="171" w:lineRule="exact"/>
        <w:rPr>
          <w:rFonts w:ascii="Times New Roman" w:cs="Times New Roman" w:eastAsia="Times New Roman" w:hAnsi="Times New Roman"/>
          <w:sz w:val="21"/>
          <w:szCs w:val="21"/>
          <w:color w:val="auto"/>
        </w:rPr>
      </w:pPr>
    </w:p>
    <w:p>
      <w:pPr>
        <w:jc w:val="both"/>
        <w:ind w:firstLine="1291"/>
        <w:spacing w:after="0" w:line="257" w:lineRule="auto"/>
        <w:tabs>
          <w:tab w:leader="none" w:pos="1762"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 of Certain Provisions</w:t>
      </w:r>
      <w:r>
        <w:rPr>
          <w:rFonts w:ascii="Times New Roman" w:cs="Times New Roman" w:eastAsia="Times New Roman" w:hAnsi="Times New Roman"/>
          <w:sz w:val="21"/>
          <w:szCs w:val="21"/>
          <w:color w:val="auto"/>
        </w:rPr>
        <w:t xml:space="preserve">. The Borrower agrees that each Participant shall be deemed to have the right of setoff provided in Section 11.1 in respect of its participating interest in amounts owing under the Loan Documents to the same extent as if the amount of its participating interest were owing directly to it as a Lender under the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Lender shall retain the right of setoff provided in Section 11.1 with respect to the amount of participating interests sold to each Participant. The Lenders agree to share with each Participant, and each Participant, by exercising the right of setoff provided in Section 11.1, agrees to share with each Lender, any amount received pursuant to the exercise of its right of setoff, such amounts to be shared in accordance with Section 11.2 as if each Participant were a Lender. The Borrower further agrees that each Participant shall be entitled to the benefits of Sections 3.1, 3.2, 3.4, 3.5, 9.6 and 9.10 to the same extent as if it were a Lender and had acquired its interest by assignment pursuant to Section 12.3,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 Participant shall not be entitled to receive any greater payment under Section 3.1 or 3.2 than the Lender who sold the participating interest to such Participant would have received had it retained such interest for its own account, unless the sale of such interest to such Participant is made with the prior written consent of the Borrower, (ii) a Participant shall not be entitled to receive any greater payment under Section 3.5 than the Lender who sold the participating interest to such Participant would have received had it retained such interest for its own account</w:t>
      </w:r>
    </w:p>
    <w:p>
      <w:pPr>
        <w:spacing w:after="0" w:line="5" w:lineRule="exact"/>
        <w:rPr>
          <w:rFonts w:ascii="Times New Roman" w:cs="Times New Roman" w:eastAsia="Times New Roman" w:hAnsi="Times New Roman"/>
          <w:sz w:val="21"/>
          <w:szCs w:val="21"/>
          <w:color w:val="auto"/>
        </w:rPr>
      </w:pPr>
    </w:p>
    <w:p>
      <w:pPr>
        <w:jc w:val="both"/>
        <w:ind w:firstLine="7"/>
        <w:spacing w:after="0" w:line="256" w:lineRule="auto"/>
        <w:tabs>
          <w:tab w:leader="none" w:pos="39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such entitlement to receive a greater payment results from a change in Law (or any change in the interpretation or administration thereof by any Governmental Authority) that occurs after the Participant acquired the applicable participation and (B), in the case of any Participant that would be a Non-U.S. Lender if it were a Lender, such Participant agrees to comply with the provisions of Section 3.5 to the same extent as if it were a Lender (it being understood that the documentation required under Section 3.5(f) shall be delivered to the participating Lender) and (iii) a Participant shall agree to be subject to the provisions of Section 2.20 and Section 3.6 as if it were an assignee under paragraph (b) of this Section. Each Lender that sells a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40"/>
          </w:cols>
          <w:pgMar w:left="320" w:top="1409" w:right="339" w:bottom="1440" w:gutter="0" w:footer="0" w:header="0"/>
        </w:sectPr>
      </w:pPr>
    </w:p>
    <w:bookmarkStart w:id="110" w:name="page111"/>
    <w:bookmarkEnd w:id="110"/>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agrees, at the Borrower’s request and expense, to use reasonable efforts to cooperate with the Borrower to effectuate the provisions of Section 2.20 with respect to any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any Outstanding Credit Exposure, any Note, any Commitment or any other obligations under the Loan Documents (the “Participant Register”);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Outstanding Credit Exposure, any Note, any Commitment or any other obligations under the Loan Documents) to any Person except to the extent that such disclosure is necessary to establish that such Outstanding Credit Exposure, any Note, any Commitment or any other obligations under the Loan Documents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12.3.</w:t>
      </w:r>
      <w:r>
        <w:rPr>
          <w:sz w:val="20"/>
          <w:szCs w:val="20"/>
          <w:color w:val="auto"/>
        </w:rPr>
        <w:tab/>
      </w:r>
      <w:r>
        <w:rPr>
          <w:rFonts w:ascii="Times New Roman" w:cs="Times New Roman" w:eastAsia="Times New Roman" w:hAnsi="Times New Roman"/>
          <w:sz w:val="21"/>
          <w:szCs w:val="21"/>
          <w:u w:val="single" w:color="auto"/>
          <w:color w:val="auto"/>
        </w:rPr>
        <w:t>Assignments</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ind w:firstLine="1291"/>
        <w:spacing w:after="0" w:line="258" w:lineRule="auto"/>
        <w:tabs>
          <w:tab w:leader="none" w:pos="174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Permitted Assignments</w:t>
      </w:r>
      <w:r>
        <w:rPr>
          <w:rFonts w:ascii="Times New Roman" w:cs="Times New Roman" w:eastAsia="Times New Roman" w:hAnsi="Times New Roman"/>
          <w:sz w:val="21"/>
          <w:szCs w:val="21"/>
          <w:color w:val="auto"/>
        </w:rPr>
        <w:t xml:space="preserve">. Any Lender may at any time assign to one or more Eligible Assignees (“Purchasers”) all or any part of its rights and obligations under the Loan Documents. Such assignment shall be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or in such other form reasonably acceptable to the Administrative Agent as may be agreed to by the parties thereto. Each such assignment with respect to a Purchaser which is not a Lender or an Affiliate of a Lender or an Approved Fund shall either be in an amount equal to the entire applicable Commitment and Outstanding Credit Exposure of the assigning Lender or (unless each of the Borrower and the Administrative Agent otherwise consents) be in an aggregate amount not less than $5,000,000. The amount of the assignment shall be based on the Commitment or Outstanding Credit Exposure (if the Commitment has been terminated) subject to the assignment, determined as of the date of such assignment or as of the “Trade Date,” if the “Trade Date” is specified in the assignment.</w:t>
      </w:r>
    </w:p>
    <w:p>
      <w:pPr>
        <w:spacing w:after="0" w:line="177" w:lineRule="exact"/>
        <w:rPr>
          <w:rFonts w:ascii="Times New Roman" w:cs="Times New Roman" w:eastAsia="Times New Roman" w:hAnsi="Times New Roman"/>
          <w:sz w:val="21"/>
          <w:szCs w:val="21"/>
          <w:color w:val="auto"/>
        </w:rPr>
      </w:pPr>
    </w:p>
    <w:p>
      <w:pPr>
        <w:jc w:val="both"/>
        <w:ind w:firstLine="1291"/>
        <w:spacing w:after="0" w:line="261" w:lineRule="auto"/>
        <w:tabs>
          <w:tab w:leader="none" w:pos="176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xml:space="preserve">. The consent of the Borrower shall be required prior to an assignment becoming effective unless the Purchaser is a Lender, an Affiliate of a Lender or an Approved Fund,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consent of the Borrower shall not be required if an Event of Default has occurred and is continuing;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Borrower shall be deemed to have consented to any such assignment unless it shall object thereto by written notice to the Administrative Agent within ten (10) Business Days after having received notice thereof. The consent of the Administrative Agent shall be required prior to an assignment becoming effective unless the Purchaser is a Lender, an Affiliate of a Lender or an Approved Fund. The consent of each of the LC Issuer and the Swing Line Lender shall be required prior to an assignment of a Commitment becoming effective unless the Purchaser is a Lender, an Affiliate of a Lender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40"/>
          </w:cols>
          <w:pgMar w:left="320" w:top="140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1"/>
          <w:szCs w:val="21"/>
          <w:color w:val="auto"/>
        </w:rPr>
        <w:t>Approved Fund. Any consent required under this Section 12.3(b) shall not be unreasonably withheld or delayed.</w:t>
      </w:r>
    </w:p>
    <w:p>
      <w:pPr>
        <w:spacing w:after="0" w:line="227" w:lineRule="exact"/>
        <w:rPr>
          <w:sz w:val="20"/>
          <w:szCs w:val="20"/>
          <w:color w:val="auto"/>
        </w:rPr>
      </w:pPr>
    </w:p>
    <w:p>
      <w:pPr>
        <w:jc w:val="both"/>
        <w:ind w:firstLine="1291"/>
        <w:spacing w:after="0" w:line="257" w:lineRule="auto"/>
        <w:tabs>
          <w:tab w:leader="none" w:pos="177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Assignment Effective Date</w:t>
      </w:r>
      <w:r>
        <w:rPr>
          <w:rFonts w:ascii="Times New Roman" w:cs="Times New Roman" w:eastAsia="Times New Roman" w:hAnsi="Times New Roman"/>
          <w:sz w:val="21"/>
          <w:szCs w:val="21"/>
          <w:color w:val="auto"/>
        </w:rPr>
        <w:t>. Upon (i) delivery to the Administrative Agent of an assignment, together with any consents required by Sections 12.3(a) and 12.3(b), and (ii) payment of a $3,500 fee to the Administrative Agent for processing such assignment (unless such fee is waived by the Administrative Agent), such assignment shall become effective on the effective date specified in such assignment. The assignment shall contain a representation by the Purchaser to the effect that none of the consideration used to make the purchase of the Commitment and Outstanding Credit Exposure under the applicable assignment agreement constitutes “plan assets” as defined under ERISA and that the rights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and obligations of a Lender under the Loan Documents, to the same extent as if it were an original party thereto, and the transferor Lender shall be released with respect to the Commitment and Outstanding Credit Exposure assigned to such Purchaser without any further consent or action by the Borrower, the Lenders or the Administrative Agent. In the case of an assignment covering all of the assigning Lender’s rights and obligations under this Agreement, such Lender shall cease to be a Lender hereunder but shall continue to be entitled to the benefits of, and subject to, those provisions of this Agreement and the other Loan Documents which survive payment of the Obligations and termination of the applicable agreement. Any assignment or transfer by a Lender of rights or obligations under this Agreement that does not comply with this Section 12.3 shall be treated for purposes of this Agreement as a sale by such Lender of a participation in such rights and obligations in accordance with Section 12.2. Upon the consummation of any assignment to a Purchaser pursuant to this Section 12.3(c), the transferor Lender, the Administrative Agent and the Borrower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Commitments, as adjusted pursuant to such assignment.</w:t>
      </w:r>
    </w:p>
    <w:p>
      <w:pPr>
        <w:spacing w:after="0" w:line="173" w:lineRule="exact"/>
        <w:rPr>
          <w:rFonts w:ascii="Times New Roman" w:cs="Times New Roman" w:eastAsia="Times New Roman" w:hAnsi="Times New Roman"/>
          <w:sz w:val="21"/>
          <w:szCs w:val="21"/>
          <w:color w:val="auto"/>
        </w:rPr>
      </w:pPr>
    </w:p>
    <w:p>
      <w:pPr>
        <w:jc w:val="both"/>
        <w:ind w:firstLine="1291"/>
        <w:spacing w:after="0" w:line="259" w:lineRule="auto"/>
        <w:tabs>
          <w:tab w:leader="none" w:pos="1787"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Administrative Agent, acting solely for this purpose as a non-fiduciary agent of the Borrower, shall maintain at one of its offices in the United States of America, a copy of each Assignment and Assumption delivered to it and a register for the recordation of the names and addresses of the Lenders, and the Commitments of, and principal amounts (and stated interest) of the Loans owing to, each Lender, and participations of each Lender in Facility LCs, pursuant to the terms hereof from time to time (the “Register”).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each Lender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40"/>
          </w:cols>
          <w:pgMar w:left="320" w:top="1409" w:right="339" w:bottom="1440" w:gutter="0" w:footer="0" w:header="0"/>
        </w:sectPr>
      </w:pPr>
    </w:p>
    <w:bookmarkStart w:id="112" w:name="page113"/>
    <w:bookmarkEnd w:id="112"/>
    <w:p>
      <w:pPr>
        <w:jc w:val="both"/>
        <w:ind w:firstLine="1291"/>
        <w:spacing w:after="0" w:line="269" w:lineRule="auto"/>
        <w:tabs>
          <w:tab w:leader="none" w:pos="1922"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Dissemination of Information</w:t>
      </w:r>
      <w:r>
        <w:rPr>
          <w:rFonts w:ascii="Times New Roman" w:cs="Times New Roman" w:eastAsia="Times New Roman" w:hAnsi="Times New Roman"/>
          <w:sz w:val="21"/>
          <w:szCs w:val="21"/>
          <w:color w:val="auto"/>
        </w:rPr>
        <w:t xml:space="preserve">. The Borrower authorizes each Lender to disclose to any Participant or Purchaser or any other Person acquiring an interest in the Loan Documents by operation of law (each a “Transferee”) and any prospective Transferee any and all information in such Lender’s possession;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Transferee and prospective Transferee agrees to be bound by Section 9.11 of this Agreement.</w:t>
      </w:r>
    </w:p>
    <w:p>
      <w:pPr>
        <w:spacing w:after="0" w:line="161" w:lineRule="exact"/>
        <w:rPr>
          <w:rFonts w:ascii="Times New Roman" w:cs="Times New Roman" w:eastAsia="Times New Roman" w:hAnsi="Times New Roman"/>
          <w:sz w:val="21"/>
          <w:szCs w:val="21"/>
          <w:color w:val="auto"/>
        </w:rPr>
      </w:pPr>
    </w:p>
    <w:p>
      <w:pPr>
        <w:jc w:val="both"/>
        <w:ind w:firstLine="1291"/>
        <w:spacing w:after="0" w:line="264" w:lineRule="auto"/>
        <w:tabs>
          <w:tab w:leader="none" w:pos="1765"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as LC Issuer or Swing Line Lender after Assignment</w:t>
      </w:r>
      <w:r>
        <w:rPr>
          <w:rFonts w:ascii="Times New Roman" w:cs="Times New Roman" w:eastAsia="Times New Roman" w:hAnsi="Times New Roman"/>
          <w:sz w:val="21"/>
          <w:szCs w:val="21"/>
          <w:color w:val="auto"/>
        </w:rPr>
        <w:t>. Notwithstanding anything to the contrary contained herein, if at any time U.S. Bank or any other LC Issuer assigns all of its Commitments and Loans pursuant to subsection</w:t>
      </w:r>
    </w:p>
    <w:p>
      <w:pPr>
        <w:jc w:val="both"/>
        <w:ind w:firstLine="7"/>
        <w:spacing w:after="0" w:line="256" w:lineRule="auto"/>
        <w:tabs>
          <w:tab w:leader="none" w:pos="31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(i) U.S. Bank or any other LC Issuer may, upon 30 days’ notice to the Borrower and the Lenders, resign as LC Issuer and/or (ii) U.S. Bank or any other Swing Line Lender may, upon 30 days’ notice to the Borrower, resign as Swing Line Lender. In the event of any such resignation as LC Issuer or Swing Line Lender, the Borrower shall be entitled to appoint from among the Lenders a successor LC Issuer or Swing Line Lender hereunder; provided, however, that no failure by the Borrower to appoint any such successor shall affect the resignation of such LC Issuer or Swing Line Lender, as the case may be. If U.S. Bank resigns as LC Issuer, it shall retain all the rights, powers, privileges and duties of the LC Issuer hereunder with respect to all Facility LCs outstanding as of the effective time of its resignation as LC Issuer and all LC Obligations with respect thereto (including the right to require the Lenders to make Base Rate Loans or fund risk participations pursuant to Section 2.19(b)). If U.S. Bank resigns as Swing Line Lender, it shall retain all the rights of the Swing Line Lender provided for hereunder with respect to Swing Line Loans made by it and outstanding as of the effective time of such resignation, including the right to require the Lenders to make Base Rate Loans or fund risk participations in outstanding Swing Line Loans pursuant to Section 2.4(d).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Facility LCs, if any, outstanding at the time of such succession or make other arrangements satisfactory to such LC Issuer to effectively assume the obligations of such LC Issuer with respect to such Facility LCs.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XIII</w:t>
      </w:r>
    </w:p>
    <w:p>
      <w:pPr>
        <w:spacing w:after="0" w:line="2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u w:val="single" w:color="auto"/>
          <w:color w:val="auto"/>
        </w:rPr>
        <w:t>NOTICES</w:t>
      </w:r>
    </w:p>
    <w:p>
      <w:pPr>
        <w:spacing w:after="0" w:line="24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1"/>
          <w:szCs w:val="21"/>
          <w:color w:val="auto"/>
        </w:rPr>
        <w:t>13.1.</w:t>
      </w:r>
      <w:r>
        <w:rPr>
          <w:sz w:val="20"/>
          <w:szCs w:val="20"/>
          <w:color w:val="auto"/>
        </w:rPr>
        <w:tab/>
      </w:r>
      <w:r>
        <w:rPr>
          <w:rFonts w:ascii="Times New Roman" w:cs="Times New Roman" w:eastAsia="Times New Roman" w:hAnsi="Times New Roman"/>
          <w:sz w:val="21"/>
          <w:szCs w:val="21"/>
          <w:u w:val="single" w:color="auto"/>
          <w:color w:val="auto"/>
        </w:rPr>
        <w:t>Notices; Effectiveness; Electronic Communication</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ind w:firstLine="1291"/>
        <w:spacing w:after="0" w:line="264" w:lineRule="auto"/>
        <w:tabs>
          <w:tab w:leader="none" w:pos="174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Generally</w:t>
      </w:r>
      <w:r>
        <w:rPr>
          <w:rFonts w:ascii="Times New Roman" w:cs="Times New Roman" w:eastAsia="Times New Roman" w:hAnsi="Times New Roman"/>
          <w:sz w:val="21"/>
          <w:szCs w:val="21"/>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e-mail as follows:</w:t>
      </w:r>
    </w:p>
    <w:p>
      <w:pPr>
        <w:spacing w:after="0" w:line="60" w:lineRule="exact"/>
        <w:rPr>
          <w:rFonts w:ascii="Times New Roman" w:cs="Times New Roman" w:eastAsia="Times New Roman" w:hAnsi="Times New Roman"/>
          <w:sz w:val="21"/>
          <w:szCs w:val="21"/>
          <w:color w:val="auto"/>
        </w:rPr>
      </w:pPr>
    </w:p>
    <w:p>
      <w:pPr>
        <w:ind w:left="640" w:firstLine="1293"/>
        <w:spacing w:after="0" w:line="302" w:lineRule="auto"/>
        <w:tabs>
          <w:tab w:leader="none" w:pos="2377"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Borrower, to it at Jack Henry &amp; Associates, Inc., 663 W. Highway 60, P.O. Box 807, Monett, Missouri 65708, Attention: Mimi Carsley, mcarsley@jackhenry.com;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409" w:right="339" w:bottom="1440" w:gutter="0" w:footer="0" w:header="0"/>
        </w:sectPr>
      </w:pPr>
    </w:p>
    <w:bookmarkStart w:id="113" w:name="page114"/>
    <w:bookmarkEnd w:id="113"/>
    <w:p>
      <w:pPr>
        <w:ind w:left="640" w:firstLine="1293"/>
        <w:spacing w:after="0" w:line="289" w:lineRule="auto"/>
        <w:tabs>
          <w:tab w:leader="none" w:pos="2649"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Administrative Agent, to it at U.S. Bank National Association, 800 Nicollet Mall, Minneapolis, Minnesota 55402, Attn: Tim Landro, timothy.landro@usbank.com;</w:t>
      </w:r>
    </w:p>
    <w:p>
      <w:pPr>
        <w:spacing w:after="0" w:line="33" w:lineRule="exact"/>
        <w:rPr>
          <w:rFonts w:ascii="Times New Roman" w:cs="Times New Roman" w:eastAsia="Times New Roman" w:hAnsi="Times New Roman"/>
          <w:sz w:val="21"/>
          <w:szCs w:val="21"/>
          <w:color w:val="auto"/>
        </w:rPr>
      </w:pPr>
    </w:p>
    <w:p>
      <w:pPr>
        <w:ind w:left="640" w:firstLine="1293"/>
        <w:spacing w:after="0" w:line="302" w:lineRule="auto"/>
        <w:tabs>
          <w:tab w:leader="none" w:pos="265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LC Issuer, to it at U.S. Bank National Association, 800 Nicollet Mall, Minneapolis, Minnesota 55402, Attn: Tim Landro, timothy.landro@usbank.com; and</w:t>
      </w:r>
    </w:p>
    <w:p>
      <w:pPr>
        <w:spacing w:after="0" w:line="20" w:lineRule="exact"/>
        <w:rPr>
          <w:rFonts w:ascii="Times New Roman" w:cs="Times New Roman" w:eastAsia="Times New Roman" w:hAnsi="Times New Roman"/>
          <w:sz w:val="21"/>
          <w:szCs w:val="21"/>
          <w:color w:val="auto"/>
        </w:rPr>
      </w:pPr>
    </w:p>
    <w:p>
      <w:pPr>
        <w:ind w:left="2460" w:hanging="527"/>
        <w:spacing w:after="0"/>
        <w:tabs>
          <w:tab w:leader="none" w:pos="246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 Lender, to it at its address (or email address) set forth in its Administrative Questionnaire.</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Notices sent by hand or overnight courier service, or mailed by certified or registered mail, shall be deemed to have been given when received. Notices delivered through electronic communications to the extent provided in paragraph (b) below, shall be effective as provided in said paragraph (b).</w:t>
      </w:r>
    </w:p>
    <w:p>
      <w:pPr>
        <w:spacing w:after="0" w:line="65" w:lineRule="exact"/>
        <w:rPr>
          <w:sz w:val="20"/>
          <w:szCs w:val="20"/>
          <w:color w:val="auto"/>
        </w:rPr>
      </w:pPr>
    </w:p>
    <w:p>
      <w:pPr>
        <w:ind w:left="1760" w:hanging="469"/>
        <w:spacing w:after="0"/>
        <w:tabs>
          <w:tab w:leader="none" w:pos="176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Communications</w:t>
      </w:r>
      <w:r>
        <w:rPr>
          <w:rFonts w:ascii="Times New Roman" w:cs="Times New Roman" w:eastAsia="Times New Roman" w:hAnsi="Times New Roman"/>
          <w:sz w:val="21"/>
          <w:szCs w:val="21"/>
          <w:color w:val="auto"/>
        </w:rPr>
        <w:t>.</w:t>
      </w:r>
    </w:p>
    <w:p>
      <w:pPr>
        <w:spacing w:after="0" w:line="119" w:lineRule="exact"/>
        <w:rPr>
          <w:rFonts w:ascii="Times New Roman" w:cs="Times New Roman" w:eastAsia="Times New Roman" w:hAnsi="Times New Roman"/>
          <w:sz w:val="21"/>
          <w:szCs w:val="21"/>
          <w:color w:val="auto"/>
        </w:rPr>
      </w:pPr>
    </w:p>
    <w:p>
      <w:pPr>
        <w:jc w:val="both"/>
        <w:ind w:left="640" w:firstLine="1293"/>
        <w:spacing w:after="0" w:line="259" w:lineRule="auto"/>
        <w:tabs>
          <w:tab w:leader="none" w:pos="2424"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to the Lenders and the LC Issuer hereunder may be delivered or furnished by electronic communication (including e-mail and internet or intranet websites) pursuant to procedures approved by the Administrative Agent or as otherwise determined by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apply to notices to any Lender or the LC Issuer pursuant to Article II if such Lender or the LC Issuer, as applicable, has notified the Administrative Agent that it is incapable of receiving notices under such Article by electronic communication. The Administrative Agent or the Borrower may, in its respective discretion, agree to accept notices and other communications to it hereunder by electronic communications pursuant to procedures approved by it or as it otherwise determines,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determination or approval may be limited to particular notices or communications.</w:t>
      </w:r>
    </w:p>
    <w:p>
      <w:pPr>
        <w:spacing w:after="0" w:line="322" w:lineRule="exact"/>
        <w:rPr>
          <w:rFonts w:ascii="Times New Roman" w:cs="Times New Roman" w:eastAsia="Times New Roman" w:hAnsi="Times New Roman"/>
          <w:sz w:val="21"/>
          <w:szCs w:val="21"/>
          <w:color w:val="auto"/>
        </w:rPr>
      </w:pPr>
    </w:p>
    <w:p>
      <w:pPr>
        <w:jc w:val="both"/>
        <w:ind w:left="640" w:firstLine="1293"/>
        <w:spacing w:after="0" w:line="261" w:lineRule="auto"/>
        <w:tabs>
          <w:tab w:leader="none" w:pos="2409"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65" w:lineRule="exact"/>
        <w:rPr>
          <w:rFonts w:ascii="Times New Roman" w:cs="Times New Roman" w:eastAsia="Times New Roman" w:hAnsi="Times New Roman"/>
          <w:sz w:val="21"/>
          <w:szCs w:val="21"/>
          <w:color w:val="auto"/>
        </w:rPr>
      </w:pPr>
    </w:p>
    <w:p>
      <w:pPr>
        <w:jc w:val="both"/>
        <w:ind w:left="640" w:firstLine="1293"/>
        <w:spacing w:after="0" w:line="265" w:lineRule="auto"/>
        <w:tabs>
          <w:tab w:leader="none" w:pos="2699"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agrees that the Administrative Agent may, but is not obligated to, make the Communications available to the LC Issuer and the Lenders by posting the Communications on the Platform. The Platform is provided “as is” and “as available.” Neither the Administrative Agent nor any affiliate thereof makes any warranty as to the adequacy of the Platform and expressly disclaims liability for errors or omissions in the Communications. No warranty of any kind, express, implied,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409" w:right="339" w:bottom="1440" w:gutter="0" w:footer="0" w:header="0"/>
        </w:sectPr>
      </w:pPr>
    </w:p>
    <w:bookmarkStart w:id="114" w:name="page115"/>
    <w:bookmarkEnd w:id="114"/>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statutory, including any warranty of merchantability, fitness for a particular purpose, non-infringement of third-party rights or freedom from viruses or other code defects, is made by the Administrative Agent or any affiliate thereof in connection with the Communications or the Platform. In no event shall the Administrative Agent or any affiliate thereof have any liability to the Borrower, any Lender, the LC Issuer, or any other Person for damages of any kind, including direct or indirect, special, incidental, or consequential damages, losses, or expenses (whether in tort, contract or otherwise) arising out of the Borrower’s or the Administrative Agent’s transmission of communications through the Platform. “Communications” means, collectively, any notice, demand, communication, information, document, or other material provided by or on behalf of the Borrower pursuant to any Loan Document or the transactions contemplated therein that is distributed to the Administrative Agent, any Lender or the LC Issuer by means of electronic communications pursuant to this Section, including through the Platform.</w:t>
      </w:r>
    </w:p>
    <w:p>
      <w:pPr>
        <w:spacing w:after="0" w:line="329" w:lineRule="exact"/>
        <w:rPr>
          <w:sz w:val="20"/>
          <w:szCs w:val="20"/>
          <w:color w:val="auto"/>
        </w:rPr>
      </w:pPr>
    </w:p>
    <w:p>
      <w:pPr>
        <w:ind w:firstLine="1291"/>
        <w:spacing w:after="0" w:line="289" w:lineRule="auto"/>
        <w:tabs>
          <w:tab w:leader="none" w:pos="184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Address, Etc</w:t>
      </w:r>
      <w:r>
        <w:rPr>
          <w:rFonts w:ascii="Times New Roman" w:cs="Times New Roman" w:eastAsia="Times New Roman" w:hAnsi="Times New Roman"/>
          <w:sz w:val="21"/>
          <w:szCs w:val="21"/>
          <w:color w:val="auto"/>
        </w:rPr>
        <w:t>. Any party hereto may change its address or email address for notices and other communications hereunder by notice to the other parties hereto given in the manner set forth in this Section 13.1.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XIV</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COUNTERPARTS; INTEGRATION; EFFECTIVENESS; ELECTRONIC EXECUTION; ELECTRONIC RECORDS</w:t>
      </w:r>
    </w:p>
    <w:p>
      <w:pPr>
        <w:spacing w:after="0" w:line="244" w:lineRule="exact"/>
        <w:rPr>
          <w:sz w:val="20"/>
          <w:szCs w:val="20"/>
          <w:color w:val="auto"/>
        </w:rPr>
      </w:pPr>
    </w:p>
    <w:p>
      <w:pPr>
        <w:jc w:val="both"/>
        <w:ind w:firstLine="642"/>
        <w:spacing w:after="0" w:line="257"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Counterparts; Effectiveness</w:t>
      </w:r>
      <w:r>
        <w:rPr>
          <w:rFonts w:ascii="Times New Roman" w:cs="Times New Roman" w:eastAsia="Times New Roman" w:hAnsi="Times New Roman"/>
          <w:sz w:val="21"/>
          <w:szCs w:val="21"/>
          <w:color w:val="auto"/>
        </w:rPr>
        <w:t>. This Agreement may be executed in counterparts (and by different parties hereto in different counterparts), each of which shall constitute an original, but all of which when taken together shall constitute a single contract. Except as provided in Article IV, this Agreement shall become effective when it shall have been executed by the Administrative Agent, and when the Administrative Agent shall have received counterparts hereof which, when taken together, bear the signatures of each of the parties hereto, and thereafter shall be binding upon and inure to the benefit of the parties hereto and their respective successors and assigns. Delivery of an executed counterpart of a signature page of this Agreement by telecopy or PDF shall be effective as delivery of a manually executed counterpart of this Agreement.</w:t>
      </w:r>
    </w:p>
    <w:p>
      <w:pPr>
        <w:spacing w:after="0" w:line="6" w:lineRule="exact"/>
        <w:rPr>
          <w:sz w:val="20"/>
          <w:szCs w:val="20"/>
          <w:color w:val="auto"/>
        </w:rPr>
      </w:pPr>
    </w:p>
    <w:p>
      <w:pPr>
        <w:jc w:val="both"/>
        <w:ind w:firstLine="642"/>
        <w:spacing w:after="0" w:line="254"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u w:val="single" w:color="auto"/>
          <w:color w:val="auto"/>
        </w:rPr>
        <w:t>Electronic Execution of Assignments</w:t>
      </w:r>
      <w:r>
        <w:rPr>
          <w:rFonts w:ascii="Times New Roman" w:cs="Times New Roman" w:eastAsia="Times New Roman" w:hAnsi="Times New Roman"/>
          <w:sz w:val="21"/>
          <w:szCs w:val="21"/>
          <w:color w:val="auto"/>
        </w:rPr>
        <w:t>. The words “execution,” “signed,” “signature,” and words of like import in any assignment and assumption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Electronic Signatures and Records Act, or any other state laws based on the Uniform Electronic Transactions Act.</w:t>
      </w:r>
    </w:p>
    <w:p>
      <w:pPr>
        <w:spacing w:after="0" w:line="5"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u w:val="single" w:color="auto"/>
          <w:color w:val="auto"/>
        </w:rPr>
        <w:t>Electronic Records</w:t>
      </w:r>
      <w:r>
        <w:rPr>
          <w:rFonts w:ascii="Times New Roman" w:cs="Times New Roman" w:eastAsia="Times New Roman" w:hAnsi="Times New Roman"/>
          <w:sz w:val="21"/>
          <w:szCs w:val="21"/>
          <w:color w:val="auto"/>
        </w:rPr>
        <w:t>. The Borrower hereby acknowledges the receipt of a copy of this Agreement and all other Loan Documents. Without notice to or consent of any Loan Party, the Administrative Agent and each Lender may create electronic images of any Loan Documents and destroy paper originals of any such imaged documents. Such images have the same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1240"/>
          </w:cols>
          <w:pgMar w:left="320" w:top="1409" w:right="339" w:bottom="1440" w:gutter="0" w:footer="0" w:header="0"/>
        </w:sectPr>
      </w:pPr>
    </w:p>
    <w:bookmarkStart w:id="115" w:name="page116"/>
    <w:bookmarkEnd w:id="115"/>
    <w:p>
      <w:pPr>
        <w:jc w:val="both"/>
        <w:spacing w:after="0" w:line="257" w:lineRule="auto"/>
        <w:rPr>
          <w:sz w:val="20"/>
          <w:szCs w:val="20"/>
          <w:color w:val="auto"/>
        </w:rPr>
      </w:pPr>
      <w:r>
        <w:rPr>
          <w:rFonts w:ascii="Times New Roman" w:cs="Times New Roman" w:eastAsia="Times New Roman" w:hAnsi="Times New Roman"/>
          <w:sz w:val="21"/>
          <w:szCs w:val="21"/>
          <w:color w:val="auto"/>
        </w:rPr>
        <w:t>force and effect as the paper originals and are enforceable against the Borrower and any other parties thereto. The Administrative Agent and each Lender may convert any Loan Document into a “transferrable record” as such term is defined under, and to the extent permitted by, the Uniform Electronic Transactions Act, with the image of such instrument in the Administrative Agent’s or such Lender’s possession constituting an “authoritative copy” under the Uniform Electronic Transactions Act. If the Administrative Agent agrees, in its sole discretion, to accept delivery by telecopy or PDF of an executed counterpart of a signature page of any Loan Document or other document required to be delivered under the Loan Documents, such delivery will be valid and effective as delivery of an original manually executed counterpart of such document for all purposes. If the Administrative Agent agrees, in its sole discretion, to accept any electronic signatures of any Loan Document or other document required to be delivered under the Loan Documents, the words “execution,” “signed,” and “signature,” and words of like import, in or referring to any document so signed will deemed to include electronic signatures and/or the keeping of records in electronic form, which will be of the same legal effect, validity and enforceability as a manually executed signature and/or the use of a paper-based recordkeeping system, to the extent and as provided for in any applicable law, including UETA, E-SIGN, or any other state laws based on, or similar in effect to, such acts. The Administrative Agent and each Lender may rely on any such electronic signatures without further inquiry.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XV</w:t>
      </w:r>
    </w:p>
    <w:p>
      <w:pPr>
        <w:spacing w:after="0" w:line="2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1"/>
          <w:szCs w:val="21"/>
          <w:b w:val="1"/>
          <w:bCs w:val="1"/>
          <w:u w:val="single" w:color="auto"/>
          <w:color w:val="auto"/>
        </w:rPr>
        <w:t>CHOICE OF LAW; CONSENT TO JURISDICTION; WAIVER OF JURY TRIAL</w:t>
      </w:r>
    </w:p>
    <w:p>
      <w:pPr>
        <w:spacing w:after="0" w:line="227" w:lineRule="exact"/>
        <w:rPr>
          <w:sz w:val="20"/>
          <w:szCs w:val="20"/>
          <w:color w:val="auto"/>
        </w:rPr>
      </w:pPr>
    </w:p>
    <w:p>
      <w:pPr>
        <w:jc w:val="both"/>
        <w:ind w:firstLine="642"/>
        <w:spacing w:after="0" w:line="262"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b w:val="1"/>
          <w:bCs w:val="1"/>
          <w:u w:val="single" w:color="auto"/>
          <w:color w:val="auto"/>
        </w:rPr>
        <w:t>CHOICE OF LAW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LOAN DOCUMENTS (OTHER THAN THOSE CONTAINING A CONTRARY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EXPRESS CHOICE OF LAW PROVISION) SHALL BE CONSTRUED IN ACCORDANCE WITH THE INTERNAL LAWS (WITHOUT REGARD TO THE CONFLICT OF LAWS PROVISIONS) OF THE STATE OF NEW YORK, BUT GIVING EFFECT TO FEDERAL LAWS APPLICABLE TO NATIONAL BANKS.</w:t>
      </w:r>
    </w:p>
    <w:p>
      <w:pPr>
        <w:spacing w:after="0" w:line="3" w:lineRule="exact"/>
        <w:rPr>
          <w:sz w:val="20"/>
          <w:szCs w:val="20"/>
          <w:color w:val="auto"/>
        </w:rPr>
      </w:pPr>
    </w:p>
    <w:p>
      <w:pPr>
        <w:ind w:left="640"/>
        <w:spacing w:after="0"/>
        <w:tabs>
          <w:tab w:leader="none" w:pos="1560" w:val="left"/>
        </w:tabs>
        <w:rPr>
          <w:sz w:val="20"/>
          <w:szCs w:val="20"/>
          <w:color w:val="auto"/>
        </w:rPr>
      </w:pPr>
      <w:r>
        <w:rPr>
          <w:rFonts w:ascii="Times New Roman" w:cs="Times New Roman" w:eastAsia="Times New Roman" w:hAnsi="Times New Roman"/>
          <w:sz w:val="21"/>
          <w:szCs w:val="21"/>
          <w:color w:val="auto"/>
        </w:rPr>
        <w:t>15.2.</w:t>
      </w:r>
      <w:r>
        <w:rPr>
          <w:sz w:val="20"/>
          <w:szCs w:val="20"/>
          <w:color w:val="auto"/>
        </w:rPr>
        <w:tab/>
      </w:r>
      <w:r>
        <w:rPr>
          <w:rFonts w:ascii="Times New Roman" w:cs="Times New Roman" w:eastAsia="Times New Roman" w:hAnsi="Times New Roman"/>
          <w:sz w:val="21"/>
          <w:szCs w:val="21"/>
          <w:b w:val="1"/>
          <w:bCs w:val="1"/>
          <w:u w:val="single" w:color="auto"/>
          <w:color w:val="auto"/>
        </w:rPr>
        <w:t>CONSENT TO JURISDICTION</w:t>
      </w:r>
      <w:r>
        <w:rPr>
          <w:rFonts w:ascii="Times New Roman" w:cs="Times New Roman" w:eastAsia="Times New Roman" w:hAnsi="Times New Roman"/>
          <w:sz w:val="21"/>
          <w:szCs w:val="21"/>
          <w:b w:val="1"/>
          <w:bCs w:val="1"/>
          <w:color w:val="auto"/>
        </w:rPr>
        <w:t>. EACH PARTY HEREBY IRREVOCABLY SUBMITS TO THE</w:t>
      </w:r>
    </w:p>
    <w:p>
      <w:pPr>
        <w:spacing w:after="0" w:line="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EXCLUSIVE JURISDICTION OF ANY UNITED STATES FEDERAL OR STATE COURT SITTING IN NEW YORK, NEW YORK IN ANY ACTION OR PROCEEDING ARISING OUT OF OR RELATING TO ANY LOAN DOCUMENTS AND EACH PARTY HEREBY IRREVOCABLY AGREES THAT ALL CLAIMS IN RESPECT OF SUCH ACTION OR PROCEEDING SHALL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THE LC ISSUER OR ANY LENDER TO BRING PROCEEDINGS AGAINST THE BORROWER IN THE COURTS OF ANY OTHER JURISDICTION IN CONNECTION WITH THE ENFORCEMENT OF ANY JUDGMENT RECEIVED IN THE APPLICABLE NEW YORK STATE OR FEDERAL COURT.</w:t>
      </w:r>
    </w:p>
    <w:p>
      <w:pPr>
        <w:spacing w:after="0" w:line="2" w:lineRule="exact"/>
        <w:rPr>
          <w:sz w:val="20"/>
          <w:szCs w:val="20"/>
          <w:color w:val="auto"/>
        </w:rPr>
      </w:pPr>
    </w:p>
    <w:p>
      <w:pPr>
        <w:ind w:firstLine="642"/>
        <w:spacing w:after="0" w:line="265"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b w:val="1"/>
          <w:bCs w:val="1"/>
          <w:u w:val="single" w:color="auto"/>
          <w:color w:val="auto"/>
        </w:rPr>
        <w:t>WAIVER OF JURY TRIAL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BORROWER, THE ADMINISTRATIVE AGENT, THE LC ISSUER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AND EACH LENDER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240"/>
          </w:cols>
          <w:pgMar w:left="320" w:top="1409" w:right="339" w:bottom="1440" w:gutter="0" w:footer="0" w:header="0"/>
        </w:sectPr>
      </w:pPr>
    </w:p>
    <w:bookmarkStart w:id="116" w:name="page117"/>
    <w:bookmarkEnd w:id="116"/>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WAIVE TRIAL BY JURY IN ANY JUDICIAL PROCEEDING INVOLVING, DIRECTLY OR INDIRECTLY, ANY MATTER (WHETHER SOUNDING IN TORT, CONTRACT OR OTHERWISE) IN ANY WAY ARISING OUT OF, RELATED TO, OR CONNECTED WITH ANY LOAN DOCUMENT OR THE RELATIONSHIP ESTABLISHED THEREUNDER.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40"/>
          </w:cols>
          <w:pgMar w:left="320" w:top="1405" w:right="339" w:bottom="1440" w:gutter="0" w:footer="0" w:header="0"/>
        </w:sectPr>
      </w:pPr>
    </w:p>
    <w:bookmarkStart w:id="117" w:name="page118"/>
    <w:bookmarkEnd w:id="117"/>
    <w:p>
      <w:pPr>
        <w:ind w:firstLine="642"/>
        <w:spacing w:after="0" w:line="289" w:lineRule="auto"/>
        <w:rPr>
          <w:sz w:val="20"/>
          <w:szCs w:val="20"/>
          <w:color w:val="auto"/>
        </w:rPr>
      </w:pPr>
      <w:r>
        <w:rPr>
          <w:rFonts w:ascii="Times New Roman" w:cs="Times New Roman" w:eastAsia="Times New Roman" w:hAnsi="Times New Roman"/>
          <w:sz w:val="21"/>
          <w:szCs w:val="21"/>
          <w:color w:val="auto"/>
        </w:rPr>
        <w:t>IN WITNESS WHEREOF, the Borrower, the Lenders, the LC Issuer and the Administrative Agent have executed this Agreement as of the date first above written.</w:t>
      </w: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JACK HENRY &amp; ASSOCIATES, INC.</w:t>
      </w: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By: /s/ Mimi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-7620</wp:posOffset>
            </wp:positionV>
            <wp:extent cx="1049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spacing w:after="0" w:line="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Name: Mimi Carsley</w:t>
      </w:r>
    </w:p>
    <w:p>
      <w:pPr>
        <w:spacing w:after="0" w:line="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Jack Henry Credit Agreement</w:t>
      </w:r>
    </w:p>
    <w:p>
      <w:pPr>
        <w:sectPr>
          <w:pgSz w:w="11900" w:h="16838" w:orient="portrait"/>
          <w:cols w:equalWidth="0" w:num="1">
            <w:col w:w="11240"/>
          </w:cols>
          <w:pgMar w:left="320" w:top="1409" w:right="339" w:bottom="1440" w:gutter="0" w:footer="0" w:header="0"/>
        </w:sectPr>
      </w:pPr>
    </w:p>
    <w:bookmarkStart w:id="118" w:name="page119"/>
    <w:bookmarkEnd w:id="118"/>
    <w:p>
      <w:pPr>
        <w:spacing w:after="0" w:line="264" w:lineRule="exact"/>
        <w:rPr>
          <w:sz w:val="20"/>
          <w:szCs w:val="20"/>
          <w:color w:val="auto"/>
        </w:rPr>
      </w:pPr>
    </w:p>
    <w:p>
      <w:pPr>
        <w:ind w:left="4380" w:firstLine="12"/>
        <w:spacing w:after="0" w:line="289" w:lineRule="auto"/>
        <w:rPr>
          <w:sz w:val="20"/>
          <w:szCs w:val="20"/>
          <w:color w:val="auto"/>
        </w:rPr>
      </w:pPr>
      <w:r>
        <w:rPr>
          <w:rFonts w:ascii="Times New Roman" w:cs="Times New Roman" w:eastAsia="Times New Roman" w:hAnsi="Times New Roman"/>
          <w:sz w:val="21"/>
          <w:szCs w:val="21"/>
          <w:color w:val="auto"/>
        </w:rPr>
        <w:t>U.S. BANK NATIONAL ASSOCIATION, as a Lender, as LC Issuer and as Administrative Agent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Arum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-7620</wp:posOffset>
            </wp:positionV>
            <wp:extent cx="8756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Arum Cho</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8"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i w:val="1"/>
          <w:iCs w:val="1"/>
          <w:color w:val="auto"/>
        </w:rPr>
        <w:t>Jack Henry Credit Agreement</w:t>
      </w:r>
    </w:p>
    <w:p>
      <w:pPr>
        <w:sectPr>
          <w:pgSz w:w="11900" w:h="16838" w:orient="portrait"/>
          <w:cols w:equalWidth="0" w:num="1">
            <w:col w:w="9720"/>
          </w:cols>
          <w:pgMar w:left="1440" w:top="1440" w:right="739" w:bottom="1440" w:gutter="0" w:footer="0" w:header="0"/>
        </w:sectPr>
      </w:pPr>
    </w:p>
    <w:bookmarkStart w:id="119" w:name="page120"/>
    <w:bookmarkEnd w:id="119"/>
    <w:p>
      <w:pPr>
        <w:spacing w:after="0" w:line="264"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21"/>
          <w:szCs w:val="21"/>
          <w:color w:val="auto"/>
        </w:rPr>
        <w:t>BANK OF AMERICA, N.A., as a Lender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Jeff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-7620</wp:posOffset>
            </wp:positionV>
            <wp:extent cx="1114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Jeff Hightower</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Jack Henry Credit Agreement</w:t>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64" w:lineRule="exact"/>
        <w:rPr>
          <w:sz w:val="20"/>
          <w:szCs w:val="20"/>
          <w:color w:val="auto"/>
        </w:rPr>
      </w:pPr>
    </w:p>
    <w:p>
      <w:pPr>
        <w:ind w:left="4380" w:firstLine="12"/>
        <w:spacing w:after="0" w:line="289" w:lineRule="auto"/>
        <w:rPr>
          <w:sz w:val="20"/>
          <w:szCs w:val="20"/>
          <w:color w:val="auto"/>
        </w:rPr>
      </w:pPr>
      <w:r>
        <w:rPr>
          <w:rFonts w:ascii="Times New Roman" w:cs="Times New Roman" w:eastAsia="Times New Roman" w:hAnsi="Times New Roman"/>
          <w:sz w:val="21"/>
          <w:szCs w:val="21"/>
          <w:color w:val="auto"/>
        </w:rPr>
        <w:t>FIFTH THIRD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Michael S.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-7620</wp:posOffset>
            </wp:positionV>
            <wp:extent cx="13208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Michael S. Barnett</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i w:val="1"/>
          <w:iCs w:val="1"/>
          <w:color w:val="auto"/>
        </w:rPr>
        <w:t>Jack Henry Credit Agreement</w:t>
      </w:r>
    </w:p>
    <w:p>
      <w:pPr>
        <w:sectPr>
          <w:pgSz w:w="11900" w:h="16838" w:orient="portrait"/>
          <w:cols w:equalWidth="0" w:num="1">
            <w:col w:w="9420"/>
          </w:cols>
          <w:pgMar w:left="1440" w:top="1440" w:right="1039" w:bottom="1440" w:gutter="0" w:footer="0" w:header="0"/>
        </w:sectPr>
      </w:pPr>
    </w:p>
    <w:bookmarkStart w:id="121" w:name="page122"/>
    <w:bookmarkEnd w:id="121"/>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PNC BANK, NATIONAL ASSOCIATION, as a Lender</w:t>
      </w:r>
    </w:p>
    <w:p>
      <w:pPr>
        <w:spacing w:after="0" w:line="200" w:lineRule="exact"/>
        <w:rPr>
          <w:sz w:val="20"/>
          <w:szCs w:val="20"/>
          <w:color w:val="auto"/>
        </w:rPr>
      </w:pPr>
    </w:p>
    <w:p>
      <w:pPr>
        <w:spacing w:after="0" w:line="2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Andrew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-7620</wp:posOffset>
            </wp:positionV>
            <wp:extent cx="1109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Andrew Fraser</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Jack Henry Credit Agreement</w:t>
      </w:r>
    </w:p>
    <w:p>
      <w:pPr>
        <w:sectPr>
          <w:pgSz w:w="11900" w:h="16838" w:orient="portrait"/>
          <w:cols w:equalWidth="0" w:num="1">
            <w:col w:w="9160"/>
          </w:cols>
          <w:pgMar w:left="1440" w:top="1440" w:right="1299" w:bottom="1440" w:gutter="0" w:footer="0" w:header="0"/>
        </w:sectPr>
      </w:pPr>
    </w:p>
    <w:bookmarkStart w:id="122" w:name="page123"/>
    <w:bookmarkEnd w:id="122"/>
    <w:p>
      <w:pPr>
        <w:spacing w:after="0" w:line="264"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1"/>
          <w:szCs w:val="21"/>
          <w:color w:val="auto"/>
        </w:rPr>
        <w:t>REGIONS BANK, as a Lender</w:t>
      </w:r>
    </w:p>
    <w:p>
      <w:pPr>
        <w:spacing w:after="0" w:line="200" w:lineRule="exact"/>
        <w:rPr>
          <w:sz w:val="20"/>
          <w:szCs w:val="20"/>
          <w:color w:val="auto"/>
        </w:rPr>
      </w:pPr>
    </w:p>
    <w:p>
      <w:pPr>
        <w:spacing w:after="0" w:line="2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Michael J.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-7620</wp:posOffset>
            </wp:positionV>
            <wp:extent cx="1177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Michael J. Stein</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Jack Henry Credit Agreement</w:t>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264"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21"/>
          <w:szCs w:val="21"/>
          <w:color w:val="auto"/>
        </w:rPr>
        <w:t>TRUIST BANK, as a Lender</w:t>
      </w:r>
    </w:p>
    <w:p>
      <w:pPr>
        <w:spacing w:after="0" w:line="200" w:lineRule="exact"/>
        <w:rPr>
          <w:sz w:val="20"/>
          <w:szCs w:val="20"/>
          <w:color w:val="auto"/>
        </w:rPr>
      </w:pPr>
    </w:p>
    <w:p>
      <w:pPr>
        <w:spacing w:after="0" w:line="2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Carlos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-7620</wp:posOffset>
            </wp:positionV>
            <wp:extent cx="951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Carlos Cruz</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Jack Henry Credit Agreement</w:t>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6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COMMERCE BANK, as a Lender</w:t>
      </w:r>
    </w:p>
    <w:p>
      <w:pPr>
        <w:spacing w:after="0" w:line="200" w:lineRule="exact"/>
        <w:rPr>
          <w:sz w:val="20"/>
          <w:szCs w:val="20"/>
          <w:color w:val="auto"/>
        </w:rPr>
      </w:pPr>
    </w:p>
    <w:p>
      <w:pPr>
        <w:spacing w:after="0" w:line="2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R. David Emley, Jr._______</w:t>
      </w:r>
    </w:p>
    <w:p>
      <w:pPr>
        <w:spacing w:after="0" w:line="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Name: R. David Emley, Jr.</w:t>
      </w:r>
    </w:p>
    <w:p>
      <w:pPr>
        <w:spacing w:after="0" w:line="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Jack Henry Credit Agreement</w:t>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305"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21"/>
          <w:szCs w:val="21"/>
          <w:color w:val="auto"/>
        </w:rPr>
        <w:t>JPMORGAN CHASE BANK, N.A., as a Lender</w:t>
      </w:r>
    </w:p>
    <w:p>
      <w:pPr>
        <w:spacing w:after="0" w:line="200" w:lineRule="exact"/>
        <w:rPr>
          <w:sz w:val="20"/>
          <w:szCs w:val="20"/>
          <w:color w:val="auto"/>
        </w:rPr>
      </w:pPr>
    </w:p>
    <w:p>
      <w:pPr>
        <w:spacing w:after="0" w:line="2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Anthony N.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-7620</wp:posOffset>
            </wp:positionV>
            <wp:extent cx="11849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Anthony N. Hill</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Jack Henry Credit Agreement</w:t>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6000" w:type="dxa"/>
            <w:vAlign w:val="bottom"/>
          </w:tcPr>
          <w:p>
            <w:pPr>
              <w:ind w:left="3980"/>
              <w:spacing w:after="0"/>
              <w:rPr>
                <w:sz w:val="20"/>
                <w:szCs w:val="20"/>
                <w:color w:val="auto"/>
              </w:rPr>
            </w:pPr>
            <w:r>
              <w:rPr>
                <w:rFonts w:ascii="Times New Roman" w:cs="Times New Roman" w:eastAsia="Times New Roman" w:hAnsi="Times New Roman"/>
                <w:sz w:val="21"/>
                <w:szCs w:val="21"/>
                <w:b w:val="1"/>
                <w:bCs w:val="1"/>
                <w:color w:val="auto"/>
              </w:rPr>
              <w:t>SCHEDULE 1</w:t>
            </w:r>
          </w:p>
        </w:tc>
        <w:tc>
          <w:tcPr>
            <w:tcW w:w="1920" w:type="dxa"/>
            <w:vAlign w:val="bottom"/>
          </w:tcPr>
          <w:p>
            <w:pPr>
              <w:spacing w:after="0"/>
              <w:rPr>
                <w:sz w:val="22"/>
                <w:szCs w:val="22"/>
                <w:color w:val="auto"/>
              </w:rPr>
            </w:pPr>
          </w:p>
        </w:tc>
      </w:tr>
      <w:tr>
        <w:trPr>
          <w:trHeight w:val="283"/>
        </w:trPr>
        <w:tc>
          <w:tcPr>
            <w:tcW w:w="6000" w:type="dxa"/>
            <w:vAlign w:val="bottom"/>
          </w:tcPr>
          <w:p>
            <w:pPr>
              <w:ind w:left="4000"/>
              <w:spacing w:after="0"/>
              <w:rPr>
                <w:sz w:val="20"/>
                <w:szCs w:val="20"/>
                <w:color w:val="auto"/>
              </w:rPr>
            </w:pPr>
            <w:r>
              <w:rPr>
                <w:rFonts w:ascii="Times New Roman" w:cs="Times New Roman" w:eastAsia="Times New Roman" w:hAnsi="Times New Roman"/>
                <w:sz w:val="21"/>
                <w:szCs w:val="21"/>
                <w:b w:val="1"/>
                <w:bCs w:val="1"/>
                <w:color w:val="auto"/>
              </w:rPr>
              <w:t>Commitments</w:t>
            </w:r>
          </w:p>
        </w:tc>
        <w:tc>
          <w:tcPr>
            <w:tcW w:w="1920" w:type="dxa"/>
            <w:vAlign w:val="bottom"/>
          </w:tcPr>
          <w:p>
            <w:pPr>
              <w:spacing w:after="0"/>
              <w:rPr>
                <w:sz w:val="24"/>
                <w:szCs w:val="24"/>
                <w:color w:val="auto"/>
              </w:rPr>
            </w:pPr>
          </w:p>
        </w:tc>
      </w:tr>
      <w:tr>
        <w:trPr>
          <w:trHeight w:val="257"/>
        </w:trPr>
        <w:tc>
          <w:tcPr>
            <w:tcW w:w="60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Lender:</w:t>
            </w:r>
          </w:p>
        </w:tc>
        <w:tc>
          <w:tcPr>
            <w:tcW w:w="1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1"/>
                <w:szCs w:val="21"/>
                <w:color w:val="auto"/>
              </w:rPr>
              <w:t>Commitment:</w:t>
            </w: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U.S. BANK NATIONAL ASSOCIATION</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$165,000,000</w:t>
            </w: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BANK OF AMERICA, N.A.</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$140,000,000</w:t>
            </w: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FIFTH THIRD BANK, NATIONAL ASSOCIATION</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$140,000,000</w:t>
            </w: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PNC BANK, NATIONAL ASSOCIATION</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$140,000,000</w:t>
            </w: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REGIONS BANK</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$140,000,000</w:t>
            </w: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TRUIST BANK</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$140,000,000</w:t>
            </w: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COMMERCE BANK</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$85,000,000</w:t>
            </w: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JPMORGAN CHASE BANK, N.A.</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$50,000,000</w:t>
            </w:r>
          </w:p>
        </w:tc>
      </w:tr>
      <w:tr>
        <w:trPr>
          <w:trHeight w:val="261"/>
        </w:trPr>
        <w:tc>
          <w:tcPr>
            <w:tcW w:w="6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TOTAL COMMITMENTS</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rPr>
              <w:t>$1,000,000,000</w:t>
            </w:r>
          </w:p>
        </w:tc>
      </w:tr>
    </w:tbl>
    <w:p>
      <w:pPr>
        <w:sectPr>
          <w:pgSz w:w="11900" w:h="16838" w:orient="portrait"/>
          <w:cols w:equalWidth="0" w:num="1">
            <w:col w:w="9159"/>
          </w:cols>
          <w:pgMar w:left="1300" w:top="1440"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COMPLIANCE CERTIFICATE</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To:</w:t>
        <w:tab/>
        <w:t>The Lenders parties to the</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Credit Agreement Described Below</w:t>
      </w:r>
    </w:p>
    <w:p>
      <w:pPr>
        <w:spacing w:after="0" w:line="215" w:lineRule="exact"/>
        <w:rPr>
          <w:sz w:val="20"/>
          <w:szCs w:val="20"/>
          <w:color w:val="auto"/>
        </w:rPr>
      </w:pPr>
    </w:p>
    <w:p>
      <w:pPr>
        <w:jc w:val="both"/>
        <w:ind w:firstLine="642"/>
        <w:spacing w:after="0" w:line="266" w:lineRule="auto"/>
        <w:rPr>
          <w:sz w:val="20"/>
          <w:szCs w:val="20"/>
          <w:color w:val="auto"/>
        </w:rPr>
      </w:pPr>
      <w:r>
        <w:rPr>
          <w:rFonts w:ascii="Times New Roman" w:cs="Times New Roman" w:eastAsia="Times New Roman" w:hAnsi="Times New Roman"/>
          <w:sz w:val="21"/>
          <w:szCs w:val="21"/>
          <w:color w:val="auto"/>
        </w:rPr>
        <w:t>This Compliance Certificate is furnished pursuant to that certain Credit Agreement dated as of March 25, 2026 (as amended, modified, renewed or extended from time to time, the “Agreement”) among Jack Henry &amp; Associates, Inc. (the “Borrower”), the lenders party thereto and U.S. Bank National Association, as Administrative Agent for the Lenders and as LC Issuer. Unless otherwise defined herein, capitalized terms used in this Compliance Certificate have the meanings ascribed thereto in the Agreement.</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UNDERSIGNED HEREBY CERTIFIES THAT:</w:t>
      </w:r>
    </w:p>
    <w:p>
      <w:pPr>
        <w:spacing w:after="0" w:line="227" w:lineRule="exact"/>
        <w:rPr>
          <w:sz w:val="20"/>
          <w:szCs w:val="20"/>
          <w:color w:val="auto"/>
        </w:rPr>
      </w:pPr>
    </w:p>
    <w:p>
      <w:pPr>
        <w:ind w:left="1080" w:hanging="431"/>
        <w:spacing w:after="0"/>
        <w:tabs>
          <w:tab w:leader="none" w:pos="108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am the duly elected [__________] of the Borrower, and I am authorized to deliver this Certificate on behalf of the</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w:t>
      </w:r>
    </w:p>
    <w:p>
      <w:pPr>
        <w:spacing w:after="0" w:line="202" w:lineRule="exact"/>
        <w:rPr>
          <w:rFonts w:ascii="Times New Roman" w:cs="Times New Roman" w:eastAsia="Times New Roman" w:hAnsi="Times New Roman"/>
          <w:sz w:val="21"/>
          <w:szCs w:val="21"/>
          <w:color w:val="auto"/>
        </w:rPr>
      </w:pPr>
    </w:p>
    <w:p>
      <w:pPr>
        <w:jc w:val="both"/>
        <w:ind w:firstLine="649"/>
        <w:spacing w:after="0" w:line="277" w:lineRule="auto"/>
        <w:tabs>
          <w:tab w:leader="none" w:pos="1098"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the terms of the Agreement and I have made, or have caused to be made under my supervision, a detailed review of the transactions and conditions of the Borrower and its Subsidiaries during the accounting period covered by the attached financial statements;</w:t>
      </w:r>
    </w:p>
    <w:p>
      <w:pPr>
        <w:spacing w:after="0" w:line="153" w:lineRule="exact"/>
        <w:rPr>
          <w:rFonts w:ascii="Times New Roman" w:cs="Times New Roman" w:eastAsia="Times New Roman" w:hAnsi="Times New Roman"/>
          <w:sz w:val="21"/>
          <w:szCs w:val="21"/>
          <w:color w:val="auto"/>
        </w:rPr>
      </w:pPr>
    </w:p>
    <w:p>
      <w:pPr>
        <w:ind w:firstLine="649"/>
        <w:spacing w:after="0" w:line="289" w:lineRule="auto"/>
        <w:tabs>
          <w:tab w:leader="none" w:pos="1036"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examinations described in paragraph 2 did not disclose, and I have no knowledge of, the existence of any Default or Event of Default as of the date of this Certificate, except as set forth below; and</w:t>
      </w:r>
    </w:p>
    <w:p>
      <w:pPr>
        <w:spacing w:after="0" w:line="140" w:lineRule="exact"/>
        <w:rPr>
          <w:rFonts w:ascii="Times New Roman" w:cs="Times New Roman" w:eastAsia="Times New Roman" w:hAnsi="Times New Roman"/>
          <w:sz w:val="21"/>
          <w:szCs w:val="21"/>
          <w:color w:val="auto"/>
        </w:rPr>
      </w:pPr>
    </w:p>
    <w:p>
      <w:pPr>
        <w:jc w:val="both"/>
        <w:ind w:firstLine="649"/>
        <w:spacing w:after="0" w:line="277" w:lineRule="auto"/>
        <w:tabs>
          <w:tab w:leader="none" w:pos="113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 I attached hereto sets forth financial data and computations evidencing the Borrower’s compliance with certain covenants of the Agreement. The financial data is derived from the attached financial statements and the computations have been calculated in accordance with the Agreement.</w:t>
      </w:r>
    </w:p>
    <w:p>
      <w:pPr>
        <w:spacing w:after="0" w:line="153" w:lineRule="exact"/>
        <w:rPr>
          <w:rFonts w:ascii="Times New Roman" w:cs="Times New Roman" w:eastAsia="Times New Roman" w:hAnsi="Times New Roman"/>
          <w:sz w:val="21"/>
          <w:szCs w:val="21"/>
          <w:color w:val="auto"/>
        </w:rPr>
      </w:pPr>
    </w:p>
    <w:p>
      <w:pPr>
        <w:ind w:firstLine="649"/>
        <w:spacing w:after="0" w:line="289" w:lineRule="auto"/>
        <w:tabs>
          <w:tab w:leader="none" w:pos="1061"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 II attached hereto sets forth the calculation of the Net Leverage Ratio as of the end of the fiscal quarter for which financial statements are required to be delivered hereunder pursuant to Section 6.1 of the Agreement.</w:t>
      </w:r>
    </w:p>
    <w:p>
      <w:pPr>
        <w:spacing w:after="0" w:line="140" w:lineRule="exact"/>
        <w:rPr>
          <w:rFonts w:ascii="Times New Roman" w:cs="Times New Roman" w:eastAsia="Times New Roman" w:hAnsi="Times New Roman"/>
          <w:sz w:val="21"/>
          <w:szCs w:val="21"/>
          <w:color w:val="auto"/>
        </w:rPr>
      </w:pPr>
    </w:p>
    <w:p>
      <w:pPr>
        <w:ind w:right="100" w:firstLine="7"/>
        <w:spacing w:after="0" w:line="277" w:lineRule="auto"/>
        <w:tabs>
          <w:tab w:leader="none" w:pos="37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 III attached hereto sets forth the various reports and deliveries which are required at this time under the Credit Agreement and the other Loan Documents (including adjustments to Consolidated EBITDA related to Permitted Acquisitions and sales, dispositions and transfers of Property) and the status of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A-1</w:t>
      </w:r>
    </w:p>
    <w:p>
      <w:pPr>
        <w:sectPr>
          <w:pgSz w:w="11900" w:h="16838" w:orient="portrait"/>
          <w:cols w:equalWidth="0" w:num="1">
            <w:col w:w="11240"/>
          </w:cols>
          <w:pgMar w:left="320" w:top="1405" w:right="339" w:bottom="1440" w:gutter="0" w:footer="0" w:header="0"/>
        </w:sectPr>
      </w:pPr>
    </w:p>
    <w:bookmarkStart w:id="128" w:name="page129"/>
    <w:bookmarkEnd w:id="128"/>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254000</wp:posOffset>
            </wp:positionV>
            <wp:extent cx="135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551180</wp:posOffset>
            </wp:positionV>
            <wp:extent cx="135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848360</wp:posOffset>
            </wp:positionV>
            <wp:extent cx="13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The foregoing certifications, together with the computations set forth in Schedule I, Schedule II and Schedule III hereto and the financial statements delivered with this Certificate in support hereof, are made and delivered this [__] day of [_______],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20[__].</w:t>
      </w:r>
    </w:p>
    <w:p>
      <w:pPr>
        <w:spacing w:after="0" w:line="2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JACK HENRY &amp; ASSOCIATES,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 _________________________</w:t>
      </w:r>
    </w:p>
    <w:p>
      <w:pPr>
        <w:spacing w:after="0" w:line="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Name:</w:t>
      </w:r>
    </w:p>
    <w:p>
      <w:pPr>
        <w:spacing w:after="0" w:line="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 A-2</w:t>
      </w:r>
    </w:p>
    <w:p>
      <w:pPr>
        <w:sectPr>
          <w:pgSz w:w="11900" w:h="16838" w:orient="portrait"/>
          <w:cols w:equalWidth="0" w:num="1">
            <w:col w:w="11240"/>
          </w:cols>
          <w:pgMar w:left="320" w:top="1409"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I TO COMPLIANCE CERTIFICATE</w:t>
      </w:r>
    </w:p>
    <w:p>
      <w:pPr>
        <w:sectPr>
          <w:pgSz w:w="11900" w:h="16838" w:orient="portrait"/>
          <w:cols w:equalWidth="0" w:num="1">
            <w:col w:w="9019"/>
          </w:cols>
          <w:pgMar w:left="1440" w:top="1405" w:right="1440" w:bottom="1440" w:gutter="0" w:footer="0" w:header="0"/>
        </w:sectPr>
      </w:pPr>
    </w:p>
    <w:p>
      <w:pPr>
        <w:spacing w:after="0" w:line="2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Compliance as of [_________], 20[__] with</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Provisions of Section 6.20 of</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Agreement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[insert relevant calculations]</w:t>
      </w:r>
    </w:p>
    <w:p>
      <w:pPr>
        <w:sectPr>
          <w:pgSz w:w="11900" w:h="16838" w:orient="portrait"/>
          <w:cols w:equalWidth="0" w:num="1">
            <w:col w:w="9019"/>
          </w:cols>
          <w:pgMar w:left="1440" w:top="1405" w:right="1440" w:bottom="1440" w:gutter="0" w:footer="0" w:header="0"/>
          <w:type w:val="continuous"/>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II TO COMPLIANCE CERTIFICATE</w:t>
      </w:r>
    </w:p>
    <w:p>
      <w:pPr>
        <w:sectPr>
          <w:pgSz w:w="11900" w:h="16838" w:orient="portrait"/>
          <w:cols w:equalWidth="0" w:num="1">
            <w:col w:w="9019"/>
          </w:cols>
          <w:pgMar w:left="1440" w:top="1405"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Borrower’s Net Leverage Ratio Calculation</w:t>
      </w:r>
    </w:p>
    <w:p>
      <w:pPr>
        <w:sectPr>
          <w:pgSz w:w="11900" w:h="16838" w:orient="portrait"/>
          <w:cols w:equalWidth="0" w:num="1">
            <w:col w:w="9019"/>
          </w:cols>
          <w:pgMar w:left="1440" w:top="1405" w:right="1440" w:bottom="144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1"/>
          <w:szCs w:val="21"/>
          <w:b w:val="1"/>
          <w:bCs w:val="1"/>
          <w:color w:val="auto"/>
        </w:rPr>
        <w:t>SCHEDULE III TO COMPLIANCE CERTIFICATE</w:t>
      </w:r>
    </w:p>
    <w:p>
      <w:pPr>
        <w:sectPr>
          <w:pgSz w:w="11900" w:h="16838" w:orient="portrait"/>
          <w:cols w:equalWidth="0" w:num="1">
            <w:col w:w="9019"/>
          </w:cols>
          <w:pgMar w:left="1440" w:top="1405"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Reports and Deliveries Currently Due</w:t>
      </w:r>
    </w:p>
    <w:p>
      <w:pPr>
        <w:sectPr>
          <w:pgSz w:w="11900" w:h="16838" w:orient="portrait"/>
          <w:cols w:equalWidth="0" w:num="1">
            <w:col w:w="9019"/>
          </w:cols>
          <w:pgMar w:left="1440" w:top="1405" w:right="1440"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ASSIGNMENT AND ASSUMPTION</w:t>
      </w:r>
    </w:p>
    <w:p>
      <w:pPr>
        <w:spacing w:after="0" w:line="200" w:lineRule="exact"/>
        <w:rPr>
          <w:sz w:val="20"/>
          <w:szCs w:val="20"/>
          <w:color w:val="auto"/>
        </w:rPr>
      </w:pPr>
    </w:p>
    <w:p>
      <w:pPr>
        <w:spacing w:after="0" w:line="245" w:lineRule="exact"/>
        <w:rPr>
          <w:sz w:val="20"/>
          <w:szCs w:val="20"/>
          <w:color w:val="auto"/>
        </w:rPr>
      </w:pPr>
    </w:p>
    <w:p>
      <w:pPr>
        <w:jc w:val="both"/>
        <w:ind w:firstLine="642"/>
        <w:spacing w:after="0" w:line="262" w:lineRule="auto"/>
        <w:rPr>
          <w:sz w:val="20"/>
          <w:szCs w:val="20"/>
          <w:color w:val="auto"/>
        </w:rPr>
      </w:pPr>
      <w:r>
        <w:rPr>
          <w:rFonts w:ascii="Times New Roman" w:cs="Times New Roman" w:eastAsia="Times New Roman" w:hAnsi="Times New Roman"/>
          <w:sz w:val="21"/>
          <w:szCs w:val="21"/>
          <w:color w:val="auto"/>
        </w:rPr>
        <w:t>This Assignment and Assumption (the “Assignment and Assumption”) is dated as of the Effective Date set forth below and is entered into by and between [</w:t>
      </w:r>
      <w:r>
        <w:rPr>
          <w:rFonts w:ascii="Times New Roman" w:cs="Times New Roman" w:eastAsia="Times New Roman" w:hAnsi="Times New Roman"/>
          <w:sz w:val="21"/>
          <w:szCs w:val="21"/>
          <w:i w:val="1"/>
          <w:iCs w:val="1"/>
          <w:color w:val="auto"/>
        </w:rPr>
        <w:t>Insert name of Assignor</w:t>
      </w:r>
      <w:r>
        <w:rPr>
          <w:rFonts w:ascii="Times New Roman" w:cs="Times New Roman" w:eastAsia="Times New Roman" w:hAnsi="Times New Roman"/>
          <w:sz w:val="21"/>
          <w:szCs w:val="21"/>
          <w:color w:val="auto"/>
        </w:rPr>
        <w:t>] (the “Assignor”) and [</w:t>
      </w:r>
      <w:r>
        <w:rPr>
          <w:rFonts w:ascii="Times New Roman" w:cs="Times New Roman" w:eastAsia="Times New Roman" w:hAnsi="Times New Roman"/>
          <w:sz w:val="21"/>
          <w:szCs w:val="21"/>
          <w:i w:val="1"/>
          <w:iCs w:val="1"/>
          <w:color w:val="auto"/>
        </w:rPr>
        <w:t>Insert name of Assignee</w:t>
      </w:r>
      <w:r>
        <w:rPr>
          <w:rFonts w:ascii="Times New Roman" w:cs="Times New Roman" w:eastAsia="Times New Roman" w:hAnsi="Times New Roman"/>
          <w:sz w:val="21"/>
          <w:szCs w:val="21"/>
          <w:color w:val="auto"/>
        </w:rPr>
        <w:t>] (the “Assignee”). Capitalized terms used but not defined herein shall have the meanings given to them in the Credit Agreement identified below (as amended, the “Credit Agreement”), receipt of a copy of which is hereby acknowledged by the Assignee. The Terms and Conditions set forth in Annex 1 attached hereto are hereby agreed to and incorporated herein by reference and made a part of this Assignment and Assumption as if set forth herein in full.</w:t>
      </w:r>
    </w:p>
    <w:p>
      <w:pPr>
        <w:spacing w:after="0" w:line="184"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21"/>
          <w:szCs w:val="21"/>
          <w:color w:val="auto"/>
        </w:rPr>
        <w:t>For an agreed consideration, the Assignor hereby irrevocably sells and assigns to the Assignee, and the Assignee hereby irrevocably purchases and assumes from the Assignor, subject to and in accordance with the Terms and Conditions and the Credit Agreement, as of the Effective Date inserted by the Administrative Agent as contemplated below, the interest in and to all of the Assignor’s rights and obligations in its capacity as a Lender under the Credit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any letters of credit, guaranties and swing line loans included in such facilities and,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Credit Agreement, any other documents or instruments delivered pursuant thereto or the loan transactions governed thereby) (the “Assigned Interest”). Such sale and assignment is without recourse to the Assignor and, except as expressly provided in this Assignment and Assumption, without representation or warranty by the Assignor.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B-1</w:t>
      </w:r>
    </w:p>
    <w:p>
      <w:pPr>
        <w:sectPr>
          <w:pgSz w:w="11900" w:h="16838" w:orient="portrait"/>
          <w:cols w:equalWidth="0" w:num="1">
            <w:col w:w="11240"/>
          </w:cols>
          <w:pgMar w:left="320" w:top="1405" w:right="339" w:bottom="1440" w:gutter="0" w:footer="0" w:header="0"/>
        </w:sectPr>
      </w:pPr>
    </w:p>
    <w:bookmarkStart w:id="133" w:name="page134"/>
    <w:bookmarkEnd w:id="133"/>
    <w:tbl>
      <w:tblPr>
        <w:tblLayout w:type="fixed"/>
        <w:tblInd w:w="80" w:type="dxa"/>
        <w:tblCellMar>
          <w:top w:w="0" w:type="dxa"/>
          <w:left w:w="0" w:type="dxa"/>
          <w:bottom w:w="0" w:type="dxa"/>
          <w:right w:w="0" w:type="dxa"/>
        </w:tblCellMar>
      </w:tblPr>
      <w:tr>
        <w:trPr>
          <w:trHeight w:val="241"/>
        </w:trPr>
        <w:tc>
          <w:tcPr>
            <w:tcW w:w="460" w:type="dxa"/>
            <w:vAlign w:val="bottom"/>
          </w:tcPr>
          <w:p>
            <w:pPr>
              <w:jc w:val="right"/>
              <w:ind w:right="193"/>
              <w:spacing w:after="0"/>
              <w:rPr>
                <w:sz w:val="20"/>
                <w:szCs w:val="20"/>
                <w:color w:val="auto"/>
              </w:rPr>
            </w:pPr>
            <w:r>
              <w:rPr>
                <w:rFonts w:ascii="Times New Roman" w:cs="Times New Roman" w:eastAsia="Times New Roman" w:hAnsi="Times New Roman"/>
                <w:sz w:val="21"/>
                <w:szCs w:val="21"/>
                <w:color w:val="auto"/>
                <w:w w:val="88"/>
              </w:rPr>
              <w:t>1.</w:t>
            </w:r>
          </w:p>
        </w:tc>
        <w:tc>
          <w:tcPr>
            <w:tcW w:w="210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Assignor:</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w:t>
            </w:r>
          </w:p>
        </w:tc>
        <w:tc>
          <w:tcPr>
            <w:tcW w:w="7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6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193"/>
              <w:spacing w:after="0"/>
              <w:rPr>
                <w:sz w:val="20"/>
                <w:szCs w:val="20"/>
                <w:color w:val="auto"/>
              </w:rPr>
            </w:pPr>
            <w:r>
              <w:rPr>
                <w:rFonts w:ascii="Times New Roman" w:cs="Times New Roman" w:eastAsia="Times New Roman" w:hAnsi="Times New Roman"/>
                <w:sz w:val="21"/>
                <w:szCs w:val="21"/>
                <w:color w:val="auto"/>
                <w:w w:val="88"/>
              </w:rPr>
              <w:t>2.</w:t>
            </w:r>
          </w:p>
        </w:tc>
        <w:tc>
          <w:tcPr>
            <w:tcW w:w="2100" w:type="dxa"/>
            <w:vAlign w:val="bottom"/>
            <w:vMerge w:val="restart"/>
          </w:tcPr>
          <w:p>
            <w:pPr>
              <w:ind w:left="320"/>
              <w:spacing w:after="0"/>
              <w:rPr>
                <w:sz w:val="20"/>
                <w:szCs w:val="20"/>
                <w:color w:val="auto"/>
              </w:rPr>
            </w:pPr>
            <w:r>
              <w:rPr>
                <w:rFonts w:ascii="Times New Roman" w:cs="Times New Roman" w:eastAsia="Times New Roman" w:hAnsi="Times New Roman"/>
                <w:sz w:val="21"/>
                <w:szCs w:val="21"/>
                <w:color w:val="auto"/>
              </w:rPr>
              <w:t>Assignee:</w:t>
            </w: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6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w:t>
            </w:r>
          </w:p>
        </w:tc>
        <w:tc>
          <w:tcPr>
            <w:tcW w:w="762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][and is an Affiliate/ Approved Fund of [</w:t>
            </w:r>
            <w:r>
              <w:rPr>
                <w:rFonts w:ascii="Times New Roman" w:cs="Times New Roman" w:eastAsia="Times New Roman" w:hAnsi="Times New Roman"/>
                <w:sz w:val="21"/>
                <w:szCs w:val="21"/>
                <w:i w:val="1"/>
                <w:iCs w:val="1"/>
                <w:color w:val="auto"/>
              </w:rPr>
              <w:t>identify Lender</w:t>
            </w: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460" w:type="dxa"/>
            <w:vAlign w:val="bottom"/>
          </w:tcPr>
          <w:p>
            <w:pPr>
              <w:jc w:val="right"/>
              <w:ind w:right="193"/>
              <w:spacing w:after="0"/>
              <w:rPr>
                <w:sz w:val="20"/>
                <w:szCs w:val="20"/>
                <w:color w:val="auto"/>
              </w:rPr>
            </w:pPr>
            <w:r>
              <w:rPr>
                <w:rFonts w:ascii="Times New Roman" w:cs="Times New Roman" w:eastAsia="Times New Roman" w:hAnsi="Times New Roman"/>
                <w:sz w:val="21"/>
                <w:szCs w:val="21"/>
                <w:color w:val="auto"/>
                <w:w w:val="88"/>
              </w:rPr>
              <w:t>3.</w:t>
            </w:r>
          </w:p>
        </w:tc>
        <w:tc>
          <w:tcPr>
            <w:tcW w:w="210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Borrower:</w:t>
            </w:r>
          </w:p>
        </w:tc>
        <w:tc>
          <w:tcPr>
            <w:tcW w:w="220" w:type="dxa"/>
            <w:vAlign w:val="bottom"/>
          </w:tcPr>
          <w:p>
            <w:pPr>
              <w:spacing w:after="0"/>
              <w:rPr>
                <w:sz w:val="24"/>
                <w:szCs w:val="24"/>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Jack Henry &amp; Associates, Inc.</w:t>
            </w:r>
          </w:p>
        </w:tc>
        <w:tc>
          <w:tcPr>
            <w:tcW w:w="0" w:type="dxa"/>
            <w:vAlign w:val="bottom"/>
          </w:tcPr>
          <w:p>
            <w:pPr>
              <w:spacing w:after="0"/>
              <w:rPr>
                <w:sz w:val="1"/>
                <w:szCs w:val="1"/>
                <w:color w:val="auto"/>
              </w:rPr>
            </w:pPr>
          </w:p>
        </w:tc>
      </w:tr>
      <w:tr>
        <w:trPr>
          <w:trHeight w:val="471"/>
        </w:trPr>
        <w:tc>
          <w:tcPr>
            <w:tcW w:w="460" w:type="dxa"/>
            <w:vAlign w:val="bottom"/>
          </w:tcPr>
          <w:p>
            <w:pPr>
              <w:jc w:val="right"/>
              <w:ind w:right="193"/>
              <w:spacing w:after="0"/>
              <w:rPr>
                <w:sz w:val="20"/>
                <w:szCs w:val="20"/>
                <w:color w:val="auto"/>
              </w:rPr>
            </w:pPr>
            <w:r>
              <w:rPr>
                <w:rFonts w:ascii="Times New Roman" w:cs="Times New Roman" w:eastAsia="Times New Roman" w:hAnsi="Times New Roman"/>
                <w:sz w:val="21"/>
                <w:szCs w:val="21"/>
                <w:color w:val="auto"/>
                <w:w w:val="88"/>
              </w:rPr>
              <w:t>4.</w:t>
            </w:r>
          </w:p>
        </w:tc>
        <w:tc>
          <w:tcPr>
            <w:tcW w:w="210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Administrative</w:t>
            </w:r>
          </w:p>
        </w:tc>
        <w:tc>
          <w:tcPr>
            <w:tcW w:w="854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U.S. Bank National Association, as the agent under the Credit Agreement.</w:t>
            </w:r>
          </w:p>
        </w:tc>
        <w:tc>
          <w:tcPr>
            <w:tcW w:w="0" w:type="dxa"/>
            <w:vAlign w:val="bottom"/>
          </w:tcPr>
          <w:p>
            <w:pPr>
              <w:spacing w:after="0"/>
              <w:rPr>
                <w:sz w:val="1"/>
                <w:szCs w:val="1"/>
                <w:color w:val="auto"/>
              </w:rPr>
            </w:pPr>
          </w:p>
        </w:tc>
      </w:tr>
      <w:tr>
        <w:trPr>
          <w:trHeight w:val="279"/>
        </w:trPr>
        <w:tc>
          <w:tcPr>
            <w:tcW w:w="460" w:type="dxa"/>
            <w:vAlign w:val="bottom"/>
          </w:tcPr>
          <w:p>
            <w:pPr>
              <w:spacing w:after="0"/>
              <w:rPr>
                <w:sz w:val="24"/>
                <w:szCs w:val="24"/>
                <w:color w:val="auto"/>
              </w:rPr>
            </w:pPr>
          </w:p>
        </w:tc>
        <w:tc>
          <w:tcPr>
            <w:tcW w:w="210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Agent:</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460" w:type="dxa"/>
            <w:vAlign w:val="bottom"/>
          </w:tcPr>
          <w:p>
            <w:pPr>
              <w:jc w:val="right"/>
              <w:ind w:right="193"/>
              <w:spacing w:after="0"/>
              <w:rPr>
                <w:sz w:val="20"/>
                <w:szCs w:val="20"/>
                <w:color w:val="auto"/>
              </w:rPr>
            </w:pPr>
            <w:r>
              <w:rPr>
                <w:rFonts w:ascii="Times New Roman" w:cs="Times New Roman" w:eastAsia="Times New Roman" w:hAnsi="Times New Roman"/>
                <w:sz w:val="21"/>
                <w:szCs w:val="21"/>
                <w:color w:val="auto"/>
                <w:w w:val="88"/>
              </w:rPr>
              <w:t>5.</w:t>
            </w:r>
          </w:p>
        </w:tc>
        <w:tc>
          <w:tcPr>
            <w:tcW w:w="210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Credit Agreement:</w:t>
            </w:r>
          </w:p>
        </w:tc>
        <w:tc>
          <w:tcPr>
            <w:tcW w:w="854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The Credit Agreement, dated as of March 25, 2026, among Jack Henry &amp; Associates, Inc., the</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540" w:type="dxa"/>
            <w:vAlign w:val="bottom"/>
            <w:gridSpan w:val="4"/>
          </w:tcPr>
          <w:p>
            <w:pPr>
              <w:ind w:left="160"/>
              <w:spacing w:after="0" w:line="214" w:lineRule="exact"/>
              <w:rPr>
                <w:sz w:val="20"/>
                <w:szCs w:val="20"/>
                <w:color w:val="auto"/>
              </w:rPr>
            </w:pPr>
            <w:r>
              <w:rPr>
                <w:rFonts w:ascii="Times New Roman" w:cs="Times New Roman" w:eastAsia="Times New Roman" w:hAnsi="Times New Roman"/>
                <w:sz w:val="21"/>
                <w:szCs w:val="21"/>
                <w:color w:val="auto"/>
              </w:rPr>
              <w:t>Lenders party thereto, U.S. Bank National Association, as Administrative Agent, and the other</w:t>
            </w:r>
          </w:p>
        </w:tc>
        <w:tc>
          <w:tcPr>
            <w:tcW w:w="0" w:type="dxa"/>
            <w:vAlign w:val="bottom"/>
          </w:tcPr>
          <w:p>
            <w:pPr>
              <w:spacing w:after="0"/>
              <w:rPr>
                <w:sz w:val="1"/>
                <w:szCs w:val="1"/>
                <w:color w:val="auto"/>
              </w:rPr>
            </w:pPr>
          </w:p>
        </w:tc>
      </w:tr>
      <w:tr>
        <w:trPr>
          <w:trHeight w:val="279"/>
        </w:trPr>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54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agents party thereto.</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60" w:hanging="786"/>
        <w:spacing w:after="0"/>
        <w:tabs>
          <w:tab w:leader="none" w:pos="86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Assigned Interest:</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30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Aggregate Amount of</w:t>
            </w:r>
          </w:p>
        </w:tc>
        <w:tc>
          <w:tcPr>
            <w:tcW w:w="2980" w:type="dxa"/>
            <w:vAlign w:val="bottom"/>
            <w:vMerge w:val="restart"/>
          </w:tcPr>
          <w:p>
            <w:pPr>
              <w:ind w:left="280"/>
              <w:spacing w:after="0"/>
              <w:rPr>
                <w:sz w:val="20"/>
                <w:szCs w:val="20"/>
                <w:color w:val="auto"/>
              </w:rPr>
            </w:pPr>
            <w:r>
              <w:rPr>
                <w:rFonts w:ascii="Times New Roman" w:cs="Times New Roman" w:eastAsia="Times New Roman" w:hAnsi="Times New Roman"/>
                <w:sz w:val="21"/>
                <w:szCs w:val="21"/>
                <w:color w:val="auto"/>
              </w:rPr>
              <w:t>Amount of</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Percentage Assigned of</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00" w:type="dxa"/>
            <w:vAlign w:val="bottom"/>
          </w:tcPr>
          <w:p>
            <w:pPr>
              <w:ind w:left="740"/>
              <w:spacing w:after="0" w:line="214" w:lineRule="exact"/>
              <w:rPr>
                <w:sz w:val="20"/>
                <w:szCs w:val="20"/>
                <w:color w:val="auto"/>
              </w:rPr>
            </w:pPr>
            <w:r>
              <w:rPr>
                <w:rFonts w:ascii="Times New Roman" w:cs="Times New Roman" w:eastAsia="Times New Roman" w:hAnsi="Times New Roman"/>
                <w:sz w:val="21"/>
                <w:szCs w:val="21"/>
                <w:color w:val="auto"/>
              </w:rPr>
              <w:t>Commitment/Loans for all</w:t>
            </w:r>
          </w:p>
        </w:tc>
        <w:tc>
          <w:tcPr>
            <w:tcW w:w="2980" w:type="dxa"/>
            <w:vAlign w:val="bottom"/>
            <w:vMerge w:val="continue"/>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1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Facility Assigned</w:t>
            </w:r>
          </w:p>
        </w:tc>
        <w:tc>
          <w:tcPr>
            <w:tcW w:w="3300" w:type="dxa"/>
            <w:vAlign w:val="bottom"/>
          </w:tcPr>
          <w:p>
            <w:pPr>
              <w:ind w:left="740"/>
              <w:spacing w:after="0" w:line="288" w:lineRule="exact"/>
              <w:rPr>
                <w:sz w:val="20"/>
                <w:szCs w:val="20"/>
                <w:color w:val="auto"/>
              </w:rPr>
            </w:pPr>
            <w:r>
              <w:rPr>
                <w:rFonts w:ascii="Times New Roman" w:cs="Times New Roman" w:eastAsia="Times New Roman" w:hAnsi="Times New Roman"/>
                <w:sz w:val="21"/>
                <w:szCs w:val="21"/>
                <w:color w:val="auto"/>
              </w:rPr>
              <w:t>Lenders</w:t>
            </w:r>
            <w:r>
              <w:rPr>
                <w:rFonts w:ascii="Times New Roman" w:cs="Times New Roman" w:eastAsia="Times New Roman" w:hAnsi="Times New Roman"/>
                <w:sz w:val="27"/>
                <w:szCs w:val="27"/>
                <w:color w:val="auto"/>
                <w:vertAlign w:val="superscript"/>
              </w:rPr>
              <w:t>2</w:t>
            </w:r>
          </w:p>
        </w:tc>
        <w:tc>
          <w:tcPr>
            <w:tcW w:w="2980" w:type="dxa"/>
            <w:vAlign w:val="bottom"/>
          </w:tcPr>
          <w:p>
            <w:pPr>
              <w:ind w:left="280"/>
              <w:spacing w:after="0" w:line="288" w:lineRule="exact"/>
              <w:rPr>
                <w:sz w:val="20"/>
                <w:szCs w:val="20"/>
                <w:color w:val="auto"/>
              </w:rPr>
            </w:pPr>
            <w:r>
              <w:rPr>
                <w:rFonts w:ascii="Times New Roman" w:cs="Times New Roman" w:eastAsia="Times New Roman" w:hAnsi="Times New Roman"/>
                <w:sz w:val="21"/>
                <w:szCs w:val="21"/>
                <w:color w:val="auto"/>
              </w:rPr>
              <w:t>Commitment/Loans Assigned</w:t>
            </w:r>
            <w:r>
              <w:rPr>
                <w:rFonts w:ascii="Times New Roman" w:cs="Times New Roman" w:eastAsia="Times New Roman" w:hAnsi="Times New Roman"/>
                <w:sz w:val="27"/>
                <w:szCs w:val="27"/>
                <w:color w:val="auto"/>
                <w:vertAlign w:val="superscript"/>
              </w:rPr>
              <w:t>3</w:t>
            </w:r>
          </w:p>
        </w:tc>
        <w:tc>
          <w:tcPr>
            <w:tcW w:w="2100" w:type="dxa"/>
            <w:vAlign w:val="bottom"/>
          </w:tcPr>
          <w:p>
            <w:pPr>
              <w:ind w:left="80"/>
              <w:spacing w:after="0" w:line="288" w:lineRule="exact"/>
              <w:rPr>
                <w:sz w:val="20"/>
                <w:szCs w:val="20"/>
                <w:color w:val="auto"/>
              </w:rPr>
            </w:pPr>
            <w:r>
              <w:rPr>
                <w:rFonts w:ascii="Times New Roman" w:cs="Times New Roman" w:eastAsia="Times New Roman" w:hAnsi="Times New Roman"/>
                <w:sz w:val="21"/>
                <w:szCs w:val="21"/>
                <w:color w:val="auto"/>
              </w:rPr>
              <w:t>Commitment/Loans</w:t>
            </w:r>
            <w:r>
              <w:rPr>
                <w:rFonts w:ascii="Times New Roman" w:cs="Times New Roman" w:eastAsia="Times New Roman" w:hAnsi="Times New Roman"/>
                <w:sz w:val="27"/>
                <w:szCs w:val="27"/>
                <w:color w:val="auto"/>
                <w:vertAlign w:val="superscript"/>
              </w:rPr>
              <w:t>4</w:t>
            </w:r>
          </w:p>
        </w:tc>
        <w:tc>
          <w:tcPr>
            <w:tcW w:w="0" w:type="dxa"/>
            <w:vAlign w:val="bottom"/>
          </w:tcPr>
          <w:p>
            <w:pPr>
              <w:spacing w:after="0"/>
              <w:rPr>
                <w:sz w:val="1"/>
                <w:szCs w:val="1"/>
                <w:color w:val="auto"/>
              </w:rPr>
            </w:pPr>
          </w:p>
        </w:tc>
      </w:tr>
      <w:tr>
        <w:trPr>
          <w:trHeight w:val="300"/>
        </w:trPr>
        <w:tc>
          <w:tcPr>
            <w:tcW w:w="2120" w:type="dxa"/>
            <w:vAlign w:val="bottom"/>
            <w:gridSpan w:val="2"/>
          </w:tcPr>
          <w:p>
            <w:pPr>
              <w:spacing w:after="0" w:line="299" w:lineRule="exact"/>
              <w:rPr>
                <w:sz w:val="20"/>
                <w:szCs w:val="20"/>
                <w:color w:val="auto"/>
              </w:rPr>
            </w:pPr>
            <w:r>
              <w:rPr>
                <w:rFonts w:ascii="Times New Roman" w:cs="Times New Roman" w:eastAsia="Times New Roman" w:hAnsi="Times New Roman"/>
                <w:sz w:val="21"/>
                <w:szCs w:val="21"/>
                <w:color w:val="auto"/>
              </w:rPr>
              <w:t>[____________]</w:t>
            </w:r>
            <w:r>
              <w:rPr>
                <w:rFonts w:ascii="Times New Roman" w:cs="Times New Roman" w:eastAsia="Times New Roman" w:hAnsi="Times New Roman"/>
                <w:sz w:val="27"/>
                <w:szCs w:val="27"/>
                <w:color w:val="auto"/>
                <w:vertAlign w:val="superscript"/>
              </w:rPr>
              <w:t>5</w:t>
            </w:r>
          </w:p>
        </w:tc>
        <w:tc>
          <w:tcPr>
            <w:tcW w:w="330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$[____________]</w:t>
            </w:r>
          </w:p>
        </w:tc>
        <w:tc>
          <w:tcPr>
            <w:tcW w:w="298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$[____________]</w:t>
            </w:r>
          </w:p>
        </w:tc>
        <w:tc>
          <w:tcPr>
            <w:tcW w:w="21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[_______]%</w:t>
            </w:r>
          </w:p>
        </w:tc>
        <w:tc>
          <w:tcPr>
            <w:tcW w:w="0" w:type="dxa"/>
            <w:vAlign w:val="bottom"/>
          </w:tcPr>
          <w:p>
            <w:pPr>
              <w:spacing w:after="0"/>
              <w:rPr>
                <w:sz w:val="1"/>
                <w:szCs w:val="1"/>
                <w:color w:val="auto"/>
              </w:rPr>
            </w:pPr>
          </w:p>
        </w:tc>
      </w:tr>
      <w:tr>
        <w:trPr>
          <w:trHeight w:val="267"/>
        </w:trPr>
        <w:tc>
          <w:tcPr>
            <w:tcW w:w="21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[____________]</w:t>
            </w:r>
          </w:p>
        </w:tc>
        <w:tc>
          <w:tcPr>
            <w:tcW w:w="330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$[____________]</w:t>
            </w:r>
          </w:p>
        </w:tc>
        <w:tc>
          <w:tcPr>
            <w:tcW w:w="298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$[____________]</w:t>
            </w:r>
          </w:p>
        </w:tc>
        <w:tc>
          <w:tcPr>
            <w:tcW w:w="21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[_______]%</w:t>
            </w:r>
          </w:p>
        </w:tc>
        <w:tc>
          <w:tcPr>
            <w:tcW w:w="0" w:type="dxa"/>
            <w:vAlign w:val="bottom"/>
          </w:tcPr>
          <w:p>
            <w:pPr>
              <w:spacing w:after="0"/>
              <w:rPr>
                <w:sz w:val="1"/>
                <w:szCs w:val="1"/>
                <w:color w:val="auto"/>
              </w:rPr>
            </w:pPr>
          </w:p>
        </w:tc>
      </w:tr>
      <w:tr>
        <w:trPr>
          <w:trHeight w:val="279"/>
        </w:trPr>
        <w:tc>
          <w:tcPr>
            <w:tcW w:w="21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[____________]</w:t>
            </w:r>
          </w:p>
        </w:tc>
        <w:tc>
          <w:tcPr>
            <w:tcW w:w="330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$[____________]</w:t>
            </w:r>
          </w:p>
        </w:tc>
        <w:tc>
          <w:tcPr>
            <w:tcW w:w="298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$[____________]</w:t>
            </w:r>
          </w:p>
        </w:tc>
        <w:tc>
          <w:tcPr>
            <w:tcW w:w="21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[_______]%</w:t>
            </w:r>
          </w:p>
        </w:tc>
        <w:tc>
          <w:tcPr>
            <w:tcW w:w="0" w:type="dxa"/>
            <w:vAlign w:val="bottom"/>
          </w:tcPr>
          <w:p>
            <w:pPr>
              <w:spacing w:after="0"/>
              <w:rPr>
                <w:sz w:val="1"/>
                <w:szCs w:val="1"/>
                <w:color w:val="auto"/>
              </w:rPr>
            </w:pPr>
          </w:p>
        </w:tc>
      </w:tr>
      <w:tr>
        <w:trPr>
          <w:trHeight w:val="619"/>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auto"/>
              </w:rPr>
              <w:t>7.</w:t>
            </w:r>
          </w:p>
        </w:tc>
        <w:tc>
          <w:tcPr>
            <w:tcW w:w="16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Trade Date:</w:t>
            </w:r>
          </w:p>
        </w:tc>
        <w:tc>
          <w:tcPr>
            <w:tcW w:w="33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[______________________]</w:t>
            </w:r>
            <w:r>
              <w:rPr>
                <w:rFonts w:ascii="Times New Roman" w:cs="Times New Roman" w:eastAsia="Times New Roman" w:hAnsi="Times New Roman"/>
                <w:sz w:val="27"/>
                <w:szCs w:val="27"/>
                <w:color w:val="auto"/>
                <w:vertAlign w:val="superscript"/>
              </w:rPr>
              <w:t>6</w:t>
            </w:r>
          </w:p>
        </w:tc>
        <w:tc>
          <w:tcPr>
            <w:tcW w:w="2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Effective Date: [____________________], 20[__] [TO BE INSERTED BY ADMINISTRATIVE AGENT AND WHICH SHALL</w:t>
      </w:r>
    </w:p>
    <w:p>
      <w:pPr>
        <w:ind w:left="80"/>
        <w:spacing w:after="0"/>
        <w:rPr>
          <w:sz w:val="20"/>
          <w:szCs w:val="20"/>
          <w:color w:val="auto"/>
        </w:rPr>
      </w:pPr>
      <w:r>
        <w:rPr>
          <w:rFonts w:ascii="Times New Roman" w:cs="Times New Roman" w:eastAsia="Times New Roman" w:hAnsi="Times New Roman"/>
          <w:sz w:val="21"/>
          <w:szCs w:val="21"/>
          <w:color w:val="auto"/>
        </w:rPr>
        <w:t>BE THE EFFECTIVE DATE OF RECORDATION OF TRANSFER BY THE ADMINISTRATIVE AGENT.]</w:t>
      </w:r>
    </w:p>
    <w:p>
      <w:pPr>
        <w:spacing w:after="0" w:line="2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The terms set forth in this Assignment and Assumption are hereby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518160</wp:posOffset>
            </wp:positionV>
            <wp:extent cx="1630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hanging="93"/>
        <w:spacing w:after="0"/>
        <w:tabs>
          <w:tab w:leader="none" w:pos="100" w:val="left"/>
        </w:tabs>
        <w:numPr>
          <w:ilvl w:val="0"/>
          <w:numId w:val="1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Select as applicable.</w:t>
      </w:r>
    </w:p>
    <w:p>
      <w:pPr>
        <w:ind w:left="100" w:hanging="93"/>
        <w:spacing w:after="0" w:line="203" w:lineRule="auto"/>
        <w:tabs>
          <w:tab w:leader="none" w:pos="100"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to be adjusted by the counterparties to take into account any payments or prepayments made between the Trade Date and the Effective Date.</w:t>
      </w:r>
    </w:p>
    <w:p>
      <w:pPr>
        <w:spacing w:after="0" w:line="1" w:lineRule="exact"/>
        <w:rPr>
          <w:rFonts w:ascii="Times New Roman" w:cs="Times New Roman" w:eastAsia="Times New Roman" w:hAnsi="Times New Roman"/>
          <w:sz w:val="23"/>
          <w:szCs w:val="23"/>
          <w:color w:val="auto"/>
          <w:vertAlign w:val="superscript"/>
        </w:rPr>
      </w:pPr>
    </w:p>
    <w:p>
      <w:pPr>
        <w:ind w:right="480"/>
        <w:spacing w:after="0" w:line="194"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Amount to be adjusted by the counterparties to take into account any payments or prepayments made between the Trade Date and the Effective Date.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Set forth, to at least 9 decimals, as a percentage of the Commitment/Loans of all Lenders thereunder.</w:t>
      </w:r>
    </w:p>
    <w:p>
      <w:pPr>
        <w:ind w:right="1460"/>
        <w:spacing w:after="0" w:line="224"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Fill in the appropriate terminology for the types of facilities under the Credit Agreement that are being assigned under this Assignment. </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Insert if satisfaction of minimum amounts is to be determined as of the Trade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 B-2</w:t>
      </w:r>
    </w:p>
    <w:p>
      <w:pPr>
        <w:sectPr>
          <w:pgSz w:w="11900" w:h="16838" w:orient="portrait"/>
          <w:cols w:equalWidth="0" w:num="1">
            <w:col w:w="11220"/>
          </w:cols>
          <w:pgMar w:left="320" w:top="1423" w:right="359" w:bottom="1440" w:gutter="0" w:footer="0" w:header="0"/>
        </w:sectPr>
      </w:pPr>
    </w:p>
    <w:bookmarkStart w:id="134" w:name="page135"/>
    <w:bookmarkEnd w:id="134"/>
    <w:p>
      <w:pPr>
        <w:ind w:left="3220"/>
        <w:spacing w:after="0"/>
        <w:rPr>
          <w:sz w:val="20"/>
          <w:szCs w:val="20"/>
          <w:color w:val="auto"/>
        </w:rPr>
      </w:pPr>
      <w:r>
        <w:rPr>
          <w:rFonts w:ascii="Times New Roman" w:cs="Times New Roman" w:eastAsia="Times New Roman" w:hAnsi="Times New Roman"/>
          <w:sz w:val="21"/>
          <w:szCs w:val="21"/>
          <w:color w:val="auto"/>
        </w:rPr>
        <w:t>ASSIGNOR</w:t>
      </w:r>
    </w:p>
    <w:p>
      <w:pPr>
        <w:spacing w:after="0" w:line="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[NAME OF ASSIGNOR]</w:t>
      </w:r>
    </w:p>
    <w:p>
      <w:pPr>
        <w:spacing w:after="0" w:line="30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By:_________________________________</w:t>
      </w:r>
    </w:p>
    <w:p>
      <w:pPr>
        <w:spacing w:after="0" w:line="3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Title:</w:t>
      </w:r>
    </w:p>
    <w:p>
      <w:pPr>
        <w:spacing w:after="0" w:line="29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ASSIGNEE</w:t>
      </w:r>
    </w:p>
    <w:p>
      <w:pPr>
        <w:spacing w:after="0" w:line="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[NAME OF ASSIGNEE]</w:t>
      </w:r>
    </w:p>
    <w:p>
      <w:pPr>
        <w:spacing w:after="0" w:line="28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By:_________________________________</w:t>
      </w:r>
    </w:p>
    <w:p>
      <w:pPr>
        <w:spacing w:after="0" w:line="3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 B-3</w:t>
      </w:r>
    </w:p>
    <w:p>
      <w:pPr>
        <w:sectPr>
          <w:pgSz w:w="11900" w:h="16838" w:orient="portrait"/>
          <w:cols w:equalWidth="0" w:num="1">
            <w:col w:w="9019"/>
          </w:cols>
          <w:pgMar w:left="1440" w:top="1436" w:right="1440" w:bottom="1440" w:gutter="0" w:footer="0" w:header="0"/>
        </w:sectPr>
      </w:pPr>
    </w:p>
    <w:bookmarkStart w:id="135" w:name="page136"/>
    <w:bookmarkEnd w:id="135"/>
    <w:p>
      <w:pPr>
        <w:spacing w:after="0" w:line="18"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1"/>
          <w:szCs w:val="21"/>
          <w:color w:val="auto"/>
        </w:rPr>
        <w:t>[Consented to and] Accepted:</w:t>
      </w:r>
      <w:r>
        <w:rPr>
          <w:rFonts w:ascii="Times New Roman" w:cs="Times New Roman" w:eastAsia="Times New Roman" w:hAnsi="Times New Roman"/>
          <w:sz w:val="27"/>
          <w:szCs w:val="27"/>
          <w:color w:val="auto"/>
          <w:vertAlign w:val="superscript"/>
        </w:rPr>
        <w:t>7</w:t>
      </w:r>
    </w:p>
    <w:p>
      <w:pPr>
        <w:spacing w:after="0" w:line="240"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1"/>
          <w:szCs w:val="21"/>
          <w:color w:val="auto"/>
        </w:rPr>
        <w:t>U.S. BANK NATIONAL ASSOCIATION, as</w:t>
      </w:r>
    </w:p>
    <w:p>
      <w:pPr>
        <w:ind w:left="73"/>
        <w:spacing w:after="0"/>
        <w:rPr>
          <w:sz w:val="20"/>
          <w:szCs w:val="20"/>
          <w:color w:val="auto"/>
        </w:rPr>
      </w:pPr>
      <w:r>
        <w:rPr>
          <w:rFonts w:ascii="Times New Roman" w:cs="Times New Roman" w:eastAsia="Times New Roman" w:hAnsi="Times New Roman"/>
          <w:sz w:val="21"/>
          <w:szCs w:val="21"/>
          <w:color w:val="auto"/>
        </w:rPr>
        <w:t>Administrative Agent</w:t>
      </w:r>
    </w:p>
    <w:p>
      <w:pPr>
        <w:spacing w:after="0" w:line="26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1"/>
          <w:szCs w:val="21"/>
          <w:color w:val="auto"/>
        </w:rPr>
        <w:t>By:____________________________</w:t>
      </w:r>
    </w:p>
    <w:p>
      <w:pPr>
        <w:spacing w:after="0" w:line="37"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44"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1"/>
          <w:szCs w:val="21"/>
          <w:color w:val="auto"/>
        </w:rPr>
        <w:t>[Consented to:]</w:t>
      </w:r>
      <w:r>
        <w:rPr>
          <w:rFonts w:ascii="Times New Roman" w:cs="Times New Roman" w:eastAsia="Times New Roman" w:hAnsi="Times New Roman"/>
          <w:sz w:val="27"/>
          <w:szCs w:val="27"/>
          <w:color w:val="auto"/>
          <w:vertAlign w:val="superscript"/>
        </w:rPr>
        <w:t>8</w:t>
      </w:r>
    </w:p>
    <w:p>
      <w:pPr>
        <w:spacing w:after="0" w:line="24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1"/>
          <w:szCs w:val="21"/>
          <w:color w:val="auto"/>
        </w:rPr>
        <w:t>[JACK HENRY &amp; ASSOCIATES, INC.]</w:t>
      </w:r>
    </w:p>
    <w:p>
      <w:pPr>
        <w:spacing w:after="0" w:line="29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1"/>
          <w:szCs w:val="21"/>
          <w:color w:val="auto"/>
        </w:rPr>
        <w:t>By:____________________________</w:t>
      </w:r>
    </w:p>
    <w:p>
      <w:pPr>
        <w:spacing w:after="0" w:line="37"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672465</wp:posOffset>
            </wp:positionV>
            <wp:extent cx="16306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3" w:hanging="93"/>
        <w:spacing w:after="0"/>
        <w:tabs>
          <w:tab w:leader="none" w:pos="93" w:val="left"/>
        </w:tabs>
        <w:numPr>
          <w:ilvl w:val="0"/>
          <w:numId w:val="1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added only if the consent of the Administrative Agent is required by the terms of the Credit Agreement.</w:t>
      </w:r>
    </w:p>
    <w:p>
      <w:pPr>
        <w:ind w:left="93" w:hanging="93"/>
        <w:spacing w:after="0" w:line="203" w:lineRule="auto"/>
        <w:tabs>
          <w:tab w:leader="none" w:pos="93" w:val="left"/>
        </w:tabs>
        <w:numPr>
          <w:ilvl w:val="0"/>
          <w:numId w:val="1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be added only if the consent of the Borrower and/or other parties (e.g. Swing Line Lender, LC Issuer)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21"/>
          <w:szCs w:val="21"/>
          <w:color w:val="auto"/>
        </w:rPr>
        <w:t>EXH. B-4</w:t>
      </w:r>
    </w:p>
    <w:p>
      <w:pPr>
        <w:sectPr>
          <w:pgSz w:w="11900" w:h="16838" w:orient="portrait"/>
          <w:cols w:equalWidth="0" w:num="1">
            <w:col w:w="11133"/>
          </w:cols>
          <w:pgMar w:left="327" w:top="1440" w:right="4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1"/>
          <w:szCs w:val="21"/>
          <w:b w:val="1"/>
          <w:bCs w:val="1"/>
          <w:color w:val="auto"/>
        </w:rPr>
        <w:t>ANNEX 1</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TERMS AND CONDITIONS FOR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ASSIGNMENT AND ASSUMPTION</w:t>
      </w:r>
    </w:p>
    <w:p>
      <w:pPr>
        <w:spacing w:after="0" w:line="216" w:lineRule="exact"/>
        <w:rPr>
          <w:sz w:val="20"/>
          <w:szCs w:val="20"/>
          <w:color w:val="auto"/>
        </w:rPr>
      </w:pPr>
    </w:p>
    <w:p>
      <w:pPr>
        <w:ind w:left="1020" w:hanging="371"/>
        <w:spacing w:after="0"/>
        <w:tabs>
          <w:tab w:leader="none" w:pos="102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ind w:firstLine="1284"/>
        <w:spacing w:after="0" w:line="258"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Assignor</w:t>
      </w:r>
      <w:r>
        <w:rPr>
          <w:rFonts w:ascii="Times New Roman" w:cs="Times New Roman" w:eastAsia="Times New Roman" w:hAnsi="Times New Roman"/>
          <w:sz w:val="21"/>
          <w:szCs w:val="21"/>
          <w:color w:val="auto"/>
        </w:rPr>
        <w:t>. The Assignor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Neither the Assignor nor any of its officers, directors, employees, agents or attorneys shall be responsible for (i) any statements, warranties or representations made in or in connection with the Credit Agreement or any other Loan Document, (ii) the execution, legality, validity, enforceability, genuineness, sufficiency, perfection, priority, collectibility, or value of the Loan Documents or any collateral thereunder, (iii) the financial condition of the Borrower, any of its Subsidiaries or Affiliates or any other Person obligated in respect of any Loan Document, (iv) the performance or observance by the Borrower, any of its Subsidiaries or Affiliates or any other Person of any of their respective obligations under any Loan Documents, (v) inspecting any of the Property, books or records of the Borrower, or any guarantor, or (vi) any mistake, error of judgment, or action taken or omitted to be taken in connection with the Loans or the Loan Documents.</w:t>
      </w:r>
    </w:p>
    <w:p>
      <w:pPr>
        <w:spacing w:after="0" w:line="180" w:lineRule="exact"/>
        <w:rPr>
          <w:sz w:val="20"/>
          <w:szCs w:val="20"/>
          <w:color w:val="auto"/>
        </w:rPr>
      </w:pPr>
    </w:p>
    <w:p>
      <w:pPr>
        <w:jc w:val="both"/>
        <w:ind w:firstLine="1284"/>
        <w:spacing w:after="0" w:line="257"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from and after the Effective Date, it shall be bound by the provisions of the Credit Agreement as a Lender thereunder and, to the extent of the Assigned Interest, shall have the obligations of a Lender thereunder, (iii) agrees that its payment instructions and notice instructions are as set forth in Schedule 1 to this Assignment and Assumption, (iv) confirms that none of the funds, monies, assets or other consideration being used to make the purchase and assumption hereunder are “plan assets” as defined under ERISA and that its rights, benefits and interests in and under the Loan Documents will not be “plan assets” under ERISA, (v) agrees to indemnify and hold the Assignor harmless against all losses, costs and expenses (including, without limitation, reasonable attorneys’ fees) and liabilities incurred by the Assignor in connection with or arising in any manner from the Assignee’s non-performance of the obligations assumed under this Assignment and Assumption,</w:t>
      </w:r>
    </w:p>
    <w:p>
      <w:pPr>
        <w:spacing w:after="0" w:line="6" w:lineRule="exact"/>
        <w:rPr>
          <w:sz w:val="20"/>
          <w:szCs w:val="20"/>
          <w:color w:val="auto"/>
        </w:rPr>
      </w:pPr>
    </w:p>
    <w:p>
      <w:pPr>
        <w:jc w:val="both"/>
        <w:ind w:firstLine="7"/>
        <w:spacing w:after="0" w:line="256" w:lineRule="auto"/>
        <w:tabs>
          <w:tab w:leader="none" w:pos="383"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received a copy of the Credit Agreement, together with copies of financial statements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(vii) attached as Schedule 1 to this Assignment and Assumption is any documentation required to be delivered by the Assignee with respect to its tax status pursuant to the terms of the Credit Agreement, duly completed and executed by the Assignee and (b) agrees that (i) it will, independently and without reliance on the Administrative Agent, the Assignor or any other Lender, and based on such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Annex 1-1</w:t>
      </w:r>
    </w:p>
    <w:p>
      <w:pPr>
        <w:sectPr>
          <w:pgSz w:w="11900" w:h="16838" w:orient="portrait"/>
          <w:cols w:equalWidth="0" w:num="1">
            <w:col w:w="11240"/>
          </w:cols>
          <w:pgMar w:left="320" w:top="1405" w:right="339" w:bottom="1440" w:gutter="0" w:footer="0" w:header="0"/>
        </w:sectPr>
      </w:pPr>
    </w:p>
    <w:bookmarkStart w:id="137" w:name="page138"/>
    <w:bookmarkEnd w:id="137"/>
    <w:p>
      <w:pPr>
        <w:jc w:val="both"/>
        <w:spacing w:after="0" w:line="271" w:lineRule="auto"/>
        <w:rPr>
          <w:sz w:val="20"/>
          <w:szCs w:val="20"/>
          <w:color w:val="auto"/>
        </w:rPr>
      </w:pPr>
      <w:r>
        <w:rPr>
          <w:rFonts w:ascii="Times New Roman" w:cs="Times New Roman" w:eastAsia="Times New Roman" w:hAnsi="Times New Roman"/>
          <w:sz w:val="21"/>
          <w:szCs w:val="21"/>
          <w:color w:val="auto"/>
        </w:rPr>
        <w:t>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2" w:lineRule="exact"/>
        <w:rPr>
          <w:sz w:val="20"/>
          <w:szCs w:val="20"/>
          <w:color w:val="auto"/>
        </w:rPr>
      </w:pPr>
    </w:p>
    <w:p>
      <w:pPr>
        <w:jc w:val="both"/>
        <w:ind w:firstLine="649"/>
        <w:spacing w:after="0" w:line="261" w:lineRule="auto"/>
        <w:tabs>
          <w:tab w:leader="none" w:pos="1057"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The Assignee shall pay the Assignor, on the Effective Date, the amount agreed to by the Assignor and the Assignee. From and after the Effective Date, the Administrative Agent shall make all payments in respect of the Assigned Interest (including payments of principal, interest, Reimbursement Obligations, fees and other amounts) to the Assignor for amounts which have accrued to but excluding the Effective Date and to the Assignee for amounts which have accrued from and after the Effective Date.</w:t>
      </w:r>
    </w:p>
    <w:p>
      <w:pPr>
        <w:spacing w:after="0" w:line="184" w:lineRule="exact"/>
        <w:rPr>
          <w:rFonts w:ascii="Times New Roman" w:cs="Times New Roman" w:eastAsia="Times New Roman" w:hAnsi="Times New Roman"/>
          <w:sz w:val="21"/>
          <w:szCs w:val="21"/>
          <w:color w:val="auto"/>
        </w:rPr>
      </w:pPr>
    </w:p>
    <w:p>
      <w:pPr>
        <w:jc w:val="both"/>
        <w:ind w:firstLine="649"/>
        <w:spacing w:after="0" w:line="259" w:lineRule="auto"/>
        <w:tabs>
          <w:tab w:leader="none" w:pos="108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PDF or electronic communication as contemplated by Section 13.1(b) of the Credit Agreement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Annex 1-2</w:t>
      </w:r>
    </w:p>
    <w:p>
      <w:pPr>
        <w:sectPr>
          <w:pgSz w:w="11900" w:h="16838" w:orient="portrait"/>
          <w:cols w:equalWidth="0" w:num="1">
            <w:col w:w="11240"/>
          </w:cols>
          <w:pgMar w:left="320" w:top="1409"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1"/>
          <w:szCs w:val="21"/>
          <w:b w:val="1"/>
          <w:bCs w:val="1"/>
          <w:color w:val="auto"/>
        </w:rPr>
        <w:t>EXHIBIT C-1</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BORROWING NOTICE</w:t>
      </w:r>
    </w:p>
    <w:p>
      <w:pPr>
        <w:spacing w:after="0" w:line="2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TO: U.S. Bank National Association, as administrative agent (the “Administrative Agent”) under that certain Credit Agreement (as amended, restated, supplemented, or otherwise modified from time to time, the “Credit Agreement”), dated as of March 25, 2026, among Jack Henry &amp; Associates, Inc. (the “Borrower”), the financial institutions party thereto, as lenders (the “Lenders”), and the Administrative Agent.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Capitalized terms used herein shall have the meanings ascribed to such terms in the Credit Agreement.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The undersigned Borrower hereby gives to the Administrative Agent a request for borrowing pursuant to Section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 of the Credit Agreement, and the Borrower hereby requests to borrow on [_______________], 20[__] (the “Borrowing Date”):</w:t>
      </w:r>
    </w:p>
    <w:p>
      <w:pPr>
        <w:spacing w:after="0" w:line="215" w:lineRule="exact"/>
        <w:rPr>
          <w:sz w:val="20"/>
          <w:szCs w:val="20"/>
          <w:color w:val="auto"/>
        </w:rPr>
      </w:pPr>
    </w:p>
    <w:p>
      <w:pPr>
        <w:ind w:left="1780" w:hanging="489"/>
        <w:spacing w:after="0"/>
        <w:tabs>
          <w:tab w:leader="none" w:pos="178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Lenders, on a pro rata basis, an aggregate principal amount of $[___________] in Revolving Loans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w:t>
      </w:r>
    </w:p>
    <w:p>
      <w:pPr>
        <w:spacing w:after="0" w:line="155" w:lineRule="exact"/>
        <w:rPr>
          <w:sz w:val="20"/>
          <w:szCs w:val="20"/>
          <w:color w:val="auto"/>
        </w:rPr>
      </w:pPr>
    </w:p>
    <w:p>
      <w:pPr>
        <w:ind w:left="2140" w:hanging="207"/>
        <w:spacing w:after="0" w:line="242" w:lineRule="exact"/>
        <w:tabs>
          <w:tab w:leader="none" w:pos="2140" w:val="left"/>
        </w:tabs>
        <w:numPr>
          <w:ilvl w:val="1"/>
          <w:numId w:val="119"/>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 Base Rate Advance</w:t>
      </w:r>
    </w:p>
    <w:p>
      <w:pPr>
        <w:spacing w:after="0" w:line="226" w:lineRule="exact"/>
        <w:rPr>
          <w:rFonts w:ascii="Times New Roman" w:cs="Times New Roman" w:eastAsia="Times New Roman" w:hAnsi="Times New Roman"/>
          <w:sz w:val="21"/>
          <w:szCs w:val="21"/>
          <w:color w:val="auto"/>
        </w:rPr>
      </w:pPr>
    </w:p>
    <w:p>
      <w:pPr>
        <w:ind w:left="1940" w:right="3720" w:hanging="7"/>
        <w:spacing w:after="0" w:line="397" w:lineRule="exact"/>
        <w:tabs>
          <w:tab w:leader="none" w:pos="2154" w:val="left"/>
        </w:tabs>
        <w:numPr>
          <w:ilvl w:val="1"/>
          <w:numId w:val="119"/>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 Term SOFR Advance with the following characteristics: Interest Period of [_______] month(s)</w:t>
      </w:r>
    </w:p>
    <w:p>
      <w:pPr>
        <w:spacing w:after="0" w:line="204" w:lineRule="exact"/>
        <w:rPr>
          <w:rFonts w:ascii="Times New Roman" w:cs="Times New Roman" w:eastAsia="Times New Roman" w:hAnsi="Times New Roman"/>
          <w:sz w:val="21"/>
          <w:szCs w:val="21"/>
          <w:color w:val="auto"/>
        </w:rPr>
      </w:pPr>
    </w:p>
    <w:p>
      <w:pPr>
        <w:ind w:left="1760" w:hanging="469"/>
        <w:spacing w:after="0"/>
        <w:tabs>
          <w:tab w:leader="none" w:pos="176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Swing Line Lender, a Swing Line Loan of $[____________] bearing interest at:</w:t>
      </w:r>
    </w:p>
    <w:p>
      <w:pPr>
        <w:spacing w:after="0" w:line="178" w:lineRule="exact"/>
        <w:rPr>
          <w:rFonts w:ascii="Times New Roman" w:cs="Times New Roman" w:eastAsia="Times New Roman" w:hAnsi="Times New Roman"/>
          <w:sz w:val="21"/>
          <w:szCs w:val="21"/>
          <w:color w:val="auto"/>
        </w:rPr>
      </w:pPr>
    </w:p>
    <w:p>
      <w:pPr>
        <w:ind w:left="2140" w:hanging="207"/>
        <w:spacing w:after="0" w:line="242" w:lineRule="exact"/>
        <w:tabs>
          <w:tab w:leader="none" w:pos="2140" w:val="left"/>
        </w:tabs>
        <w:numPr>
          <w:ilvl w:val="1"/>
          <w:numId w:val="120"/>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Base Rate</w:t>
      </w:r>
    </w:p>
    <w:p>
      <w:pPr>
        <w:spacing w:after="0" w:line="226" w:lineRule="exact"/>
        <w:rPr>
          <w:rFonts w:ascii="Times New Roman" w:cs="Times New Roman" w:eastAsia="Times New Roman" w:hAnsi="Times New Roman"/>
          <w:sz w:val="21"/>
          <w:szCs w:val="21"/>
          <w:color w:val="auto"/>
        </w:rPr>
      </w:pPr>
    </w:p>
    <w:p>
      <w:pPr>
        <w:ind w:left="2140" w:hanging="207"/>
        <w:spacing w:after="0" w:line="242" w:lineRule="exact"/>
        <w:tabs>
          <w:tab w:leader="none" w:pos="2140" w:val="left"/>
        </w:tabs>
        <w:numPr>
          <w:ilvl w:val="1"/>
          <w:numId w:val="120"/>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Term SOFR Swingline Rate</w:t>
      </w:r>
    </w:p>
    <w:p>
      <w:pPr>
        <w:spacing w:after="0" w:line="275"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The undersigned hereby certifies to the Administrative Agent and the Lenders that (i) the representations and warranties contained in Article V of the Credit Agreement are (a) with respect to any representations or warranties that contain a materiality qualifier, true and correct in all respects as of the date hereof, except to the extent any such representation or warranty is stated to relate solely to an earlier date, in which case such representation or warranty shall have been true and correct in all respects on and as of such earlier date and (b) with respect to any representations or warranties that do not contain a materiality qualifier, true and correct in all material respects as of the date hereof, except to the extent any such representation or warranty is stated to relate solely to an earlier date, in which case such representation or warranty shall have been true and correct in all material respects on and as of such earlier date; (ii) at the time of and immediately after giving effect to such Advance, no Default or Event of Default shall have occurred and be continuing; and (iii) all other relevant conditions set forth in Section 4.2 of the Credit Agreement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C-1-1</w:t>
      </w:r>
    </w:p>
    <w:p>
      <w:pPr>
        <w:sectPr>
          <w:pgSz w:w="11900" w:h="16838" w:orient="portrait"/>
          <w:cols w:equalWidth="0" w:num="1">
            <w:col w:w="11240"/>
          </w:cols>
          <w:pgMar w:left="320" w:top="1405" w:right="339" w:bottom="1440" w:gutter="0" w:footer="0" w:header="0"/>
        </w:sectPr>
      </w:pPr>
    </w:p>
    <w:bookmarkStart w:id="139" w:name="page140"/>
    <w:bookmarkEnd w:id="139"/>
    <w:p>
      <w:pPr>
        <w:ind w:firstLine="642"/>
        <w:spacing w:after="0" w:line="289" w:lineRule="auto"/>
        <w:rPr>
          <w:sz w:val="20"/>
          <w:szCs w:val="20"/>
          <w:color w:val="auto"/>
        </w:rPr>
      </w:pPr>
      <w:r>
        <w:rPr>
          <w:rFonts w:ascii="Times New Roman" w:cs="Times New Roman" w:eastAsia="Times New Roman" w:hAnsi="Times New Roman"/>
          <w:sz w:val="21"/>
          <w:szCs w:val="21"/>
          <w:color w:val="auto"/>
        </w:rPr>
        <w:t>IN WITNESS WHEREOF, the undersigned has caused this Borrowing Notice to be executed by its authorized officer as of the date set forth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 20[__]</w:t>
      </w:r>
    </w:p>
    <w:p>
      <w:pPr>
        <w:spacing w:after="0" w:line="24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JACK HENRY&amp; ASSOCIATES, INC.</w:t>
      </w:r>
    </w:p>
    <w:p>
      <w:pPr>
        <w:spacing w:after="0" w:line="2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1"/>
          <w:szCs w:val="21"/>
          <w:color w:val="auto"/>
        </w:rPr>
        <w:t>By: _________________________</w:t>
      </w:r>
    </w:p>
    <w:p>
      <w:pPr>
        <w:spacing w:after="0" w:line="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Name:</w:t>
      </w:r>
    </w:p>
    <w:p>
      <w:pPr>
        <w:spacing w:after="0" w:line="1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C-1-2</w:t>
      </w:r>
    </w:p>
    <w:p>
      <w:pPr>
        <w:sectPr>
          <w:pgSz w:w="11900" w:h="16838" w:orient="portrait"/>
          <w:cols w:equalWidth="0" w:num="1">
            <w:col w:w="11240"/>
          </w:cols>
          <w:pgMar w:left="320" w:top="1409"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1"/>
          <w:szCs w:val="21"/>
          <w:b w:val="1"/>
          <w:bCs w:val="1"/>
          <w:color w:val="auto"/>
        </w:rPr>
        <w:t>EXHIBIT C-2</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CONVERSION/CONTINUATION NOTICE</w:t>
      </w:r>
    </w:p>
    <w:p>
      <w:pPr>
        <w:spacing w:after="0" w:line="200" w:lineRule="exact"/>
        <w:rPr>
          <w:sz w:val="20"/>
          <w:szCs w:val="20"/>
          <w:color w:val="auto"/>
        </w:rPr>
      </w:pPr>
    </w:p>
    <w:p>
      <w:pPr>
        <w:spacing w:after="0" w:line="2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TO: U.S. Bank National Association, as administrative agent (the “Administrative Agent”) under that certain Credit Agreement (as amended, restated, supplemented or otherwise modified from time to time, the “Credit Agreement”), dated as of March 25, 2026, among Jack Henry &amp; Associates, Inc. (the “Borrower”), the financial institutions party thereto, as lenders (the “Lenders”), and the Administrative Agent.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Capitalized terms used herein shall have the meanings ascribed to such terms in the Credit Agreement.</w:t>
      </w:r>
    </w:p>
    <w:p>
      <w:pPr>
        <w:spacing w:after="0" w:line="227" w:lineRule="exact"/>
        <w:rPr>
          <w:sz w:val="20"/>
          <w:szCs w:val="20"/>
          <w:color w:val="auto"/>
        </w:rPr>
      </w:pPr>
    </w:p>
    <w:p>
      <w:pPr>
        <w:jc w:val="both"/>
        <w:ind w:firstLine="1284"/>
        <w:spacing w:after="0" w:line="271" w:lineRule="auto"/>
        <w:rPr>
          <w:sz w:val="20"/>
          <w:szCs w:val="20"/>
          <w:color w:val="auto"/>
        </w:rPr>
      </w:pPr>
      <w:r>
        <w:rPr>
          <w:rFonts w:ascii="Times New Roman" w:cs="Times New Roman" w:eastAsia="Times New Roman" w:hAnsi="Times New Roman"/>
          <w:sz w:val="21"/>
          <w:szCs w:val="21"/>
          <w:color w:val="auto"/>
        </w:rPr>
        <w:t>Pursuant to Section 2.9 of the Credit Agreement, the undersigned Borrower hereby requests to [continue] [convert] the interest rate on a portion of its Loan in the outstanding principal amount of $[____________] on [_______________], 20[__]</w:t>
      </w:r>
    </w:p>
    <w:p>
      <w:pPr>
        <w:spacing w:after="0"/>
        <w:rPr>
          <w:sz w:val="20"/>
          <w:szCs w:val="20"/>
          <w:color w:val="auto"/>
        </w:rPr>
      </w:pPr>
      <w:r>
        <w:rPr>
          <w:rFonts w:ascii="Times New Roman" w:cs="Times New Roman" w:eastAsia="Times New Roman" w:hAnsi="Times New Roman"/>
          <w:sz w:val="21"/>
          <w:szCs w:val="21"/>
          <w:color w:val="auto"/>
        </w:rPr>
        <w:t>as follows:</w:t>
      </w:r>
    </w:p>
    <w:p>
      <w:pPr>
        <w:spacing w:after="0" w:line="203" w:lineRule="exact"/>
        <w:rPr>
          <w:sz w:val="20"/>
          <w:szCs w:val="20"/>
          <w:color w:val="auto"/>
        </w:rPr>
      </w:pPr>
    </w:p>
    <w:p>
      <w:pPr>
        <w:ind w:left="640" w:firstLine="9"/>
        <w:spacing w:after="0" w:line="289" w:lineRule="auto"/>
        <w:tabs>
          <w:tab w:leader="none" w:pos="1045" w:val="left"/>
        </w:tabs>
        <w:numPr>
          <w:ilvl w:val="1"/>
          <w:numId w:val="12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to convert such Term SOFR Advance to a Base Rate Advance of the same type as of the last day of the current Interest Period for such Term SOFR Advance.</w:t>
      </w:r>
    </w:p>
    <w:p>
      <w:pPr>
        <w:spacing w:after="0" w:line="140" w:lineRule="exact"/>
        <w:rPr>
          <w:rFonts w:ascii="MS PGothic" w:cs="MS PGothic" w:eastAsia="MS PGothic" w:hAnsi="MS PGothic"/>
          <w:sz w:val="21"/>
          <w:szCs w:val="21"/>
          <w:color w:val="auto"/>
        </w:rPr>
      </w:pPr>
    </w:p>
    <w:p>
      <w:pPr>
        <w:ind w:left="640" w:firstLine="9"/>
        <w:spacing w:after="0" w:line="289" w:lineRule="auto"/>
        <w:tabs>
          <w:tab w:leader="none" w:pos="1081" w:val="left"/>
        </w:tabs>
        <w:numPr>
          <w:ilvl w:val="1"/>
          <w:numId w:val="12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to convert such Base Rate Advance to a Term SOFR Advance of the same type with an Interest Period of [_______] month(s).</w:t>
      </w:r>
    </w:p>
    <w:p>
      <w:pPr>
        <w:spacing w:after="0" w:line="153" w:lineRule="exact"/>
        <w:rPr>
          <w:rFonts w:ascii="MS PGothic" w:cs="MS PGothic" w:eastAsia="MS PGothic" w:hAnsi="MS PGothic"/>
          <w:sz w:val="21"/>
          <w:szCs w:val="21"/>
          <w:color w:val="auto"/>
        </w:rPr>
      </w:pPr>
    </w:p>
    <w:p>
      <w:pPr>
        <w:ind w:right="20" w:firstLine="7"/>
        <w:spacing w:after="0" w:line="289" w:lineRule="auto"/>
        <w:tabs>
          <w:tab w:leader="none" w:pos="401" w:val="left"/>
        </w:tabs>
        <w:numPr>
          <w:ilvl w:val="0"/>
          <w:numId w:val="12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to continue such Term SOFR Advance on the last day of its current Interest Period as a Term SOFR Advance of the same type with an Interest Period of [_______]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C-2-1</w:t>
      </w:r>
    </w:p>
    <w:p>
      <w:pPr>
        <w:sectPr>
          <w:pgSz w:w="11900" w:h="16838" w:orient="portrait"/>
          <w:cols w:equalWidth="0" w:num="1">
            <w:col w:w="11240"/>
          </w:cols>
          <w:pgMar w:left="320" w:top="1405" w:right="339" w:bottom="1440" w:gutter="0" w:footer="0" w:header="0"/>
        </w:sectPr>
      </w:pPr>
    </w:p>
    <w:bookmarkStart w:id="141" w:name="page142"/>
    <w:bookmarkEnd w:id="141"/>
    <w:p>
      <w:pPr>
        <w:ind w:firstLine="1284"/>
        <w:spacing w:after="0" w:line="289" w:lineRule="auto"/>
        <w:rPr>
          <w:sz w:val="20"/>
          <w:szCs w:val="20"/>
          <w:color w:val="auto"/>
        </w:rPr>
      </w:pPr>
      <w:r>
        <w:rPr>
          <w:rFonts w:ascii="Times New Roman" w:cs="Times New Roman" w:eastAsia="Times New Roman" w:hAnsi="Times New Roman"/>
          <w:sz w:val="21"/>
          <w:szCs w:val="21"/>
          <w:color w:val="auto"/>
        </w:rPr>
        <w:t>IN WITNESS WHEREOF, the undersigned has caused this Conversion/Continuation Notice to be executed on its behalf by its authorized officer as of the date set forth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 20[__]</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JACK HENRY &amp; ASSOCIATES, INC.</w:t>
      </w:r>
    </w:p>
    <w:p>
      <w:pPr>
        <w:spacing w:after="0" w:line="200" w:lineRule="exact"/>
        <w:rPr>
          <w:sz w:val="20"/>
          <w:szCs w:val="20"/>
          <w:color w:val="auto"/>
        </w:rPr>
      </w:pPr>
    </w:p>
    <w:p>
      <w:pPr>
        <w:spacing w:after="0" w:line="38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-7620</wp:posOffset>
            </wp:positionV>
            <wp:extent cx="135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C-2-2</w:t>
      </w:r>
    </w:p>
    <w:p>
      <w:pPr>
        <w:sectPr>
          <w:pgSz w:w="11900" w:h="16838" w:orient="portrait"/>
          <w:cols w:equalWidth="0" w:num="1">
            <w:col w:w="11240"/>
          </w:cols>
          <w:pgMar w:left="320" w:top="1409" w:right="3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C-3</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PAYMENT NOTICE</w:t>
      </w:r>
    </w:p>
    <w:p>
      <w:pPr>
        <w:spacing w:after="0" w:line="200" w:lineRule="exact"/>
        <w:rPr>
          <w:sz w:val="20"/>
          <w:szCs w:val="20"/>
          <w:color w:val="auto"/>
        </w:rPr>
      </w:pPr>
    </w:p>
    <w:p>
      <w:pPr>
        <w:spacing w:after="0" w:line="2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TO: U.S. Bank National Association, as administrative agent (the “Administrative Agent”) under that certain Credit Agreement (as amended, restated, supplemented or otherwise modified from time to time, the “Credit Agreement”), dated as of March 25, 2026, among Jack Henry &amp; Associates, Inc. (the “Borrower”), the financial institutions party thereto, as lenders (the “Lenders”), and the Administrative Agent.</w:t>
      </w:r>
    </w:p>
    <w:p>
      <w:pPr>
        <w:spacing w:after="0" w:line="1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Capitalized terms used herein shall have the meanings ascribed to such terms in the Credit Agreement.</w:t>
      </w:r>
    </w:p>
    <w:p>
      <w:pPr>
        <w:spacing w:after="0" w:line="22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1"/>
          <w:szCs w:val="21"/>
          <w:color w:val="auto"/>
        </w:rPr>
        <w:t>Pursuant to Section 2.7 of the Credit Agreement, the undersigned Borrower hereby notifies the Administrative Agent of its intent to make a prepayment of a portion of its [Term SOFR] [Base Rate] Loan in the amount of $[___________] on</w:t>
      </w:r>
    </w:p>
    <w:p>
      <w:pPr>
        <w:spacing w:after="0"/>
        <w:rPr>
          <w:sz w:val="20"/>
          <w:szCs w:val="20"/>
          <w:color w:val="auto"/>
        </w:rPr>
      </w:pPr>
      <w:r>
        <w:rPr>
          <w:rFonts w:ascii="Times New Roman" w:cs="Times New Roman" w:eastAsia="Times New Roman" w:hAnsi="Times New Roman"/>
          <w:sz w:val="21"/>
          <w:szCs w:val="21"/>
          <w:color w:val="auto"/>
        </w:rPr>
        <w:t>[_______________],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 C-3-1</w:t>
      </w:r>
    </w:p>
    <w:p>
      <w:pPr>
        <w:sectPr>
          <w:pgSz w:w="11900" w:h="16838" w:orient="portrait"/>
          <w:cols w:equalWidth="0" w:num="1">
            <w:col w:w="11240"/>
          </w:cols>
          <w:pgMar w:left="320" w:top="1405" w:right="339" w:bottom="1440" w:gutter="0" w:footer="0" w:header="0"/>
        </w:sectPr>
      </w:pPr>
    </w:p>
    <w:bookmarkStart w:id="143" w:name="page144"/>
    <w:bookmarkEnd w:id="143"/>
    <w:p>
      <w:pPr>
        <w:ind w:firstLine="1284"/>
        <w:spacing w:after="0" w:line="289" w:lineRule="auto"/>
        <w:rPr>
          <w:sz w:val="20"/>
          <w:szCs w:val="20"/>
          <w:color w:val="auto"/>
        </w:rPr>
      </w:pPr>
      <w:r>
        <w:rPr>
          <w:rFonts w:ascii="Times New Roman" w:cs="Times New Roman" w:eastAsia="Times New Roman" w:hAnsi="Times New Roman"/>
          <w:sz w:val="21"/>
          <w:szCs w:val="21"/>
          <w:color w:val="auto"/>
        </w:rPr>
        <w:t>IN WITNESS WHEREOF, the undersigned has caused this Payment Notice to be executed on its behalf by its authorized officer as of the date set forth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 20[__]</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JACK HENRY &amp; ASSOCIATES, INC.</w:t>
      </w:r>
    </w:p>
    <w:p>
      <w:pPr>
        <w:spacing w:after="0" w:line="200" w:lineRule="exact"/>
        <w:rPr>
          <w:sz w:val="20"/>
          <w:szCs w:val="20"/>
          <w:color w:val="auto"/>
        </w:rPr>
      </w:pPr>
    </w:p>
    <w:p>
      <w:pPr>
        <w:spacing w:after="0" w:line="37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-7620</wp:posOffset>
            </wp:positionV>
            <wp:extent cx="135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Name:</w:t>
      </w:r>
    </w:p>
    <w:p>
      <w:pPr>
        <w:spacing w:after="0" w:line="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 C-3-2</w:t>
      </w:r>
    </w:p>
    <w:p>
      <w:pPr>
        <w:sectPr>
          <w:pgSz w:w="11900" w:h="16838" w:orient="portrait"/>
          <w:cols w:equalWidth="0" w:num="1">
            <w:col w:w="11240"/>
          </w:cols>
          <w:pgMar w:left="320" w:top="1409"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1"/>
          <w:szCs w:val="21"/>
          <w:b w:val="1"/>
          <w:bCs w:val="1"/>
          <w:color w:val="auto"/>
        </w:rPr>
        <w:t>EXHIBIT 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REVOLVING NOTE</w:t>
      </w:r>
    </w:p>
    <w:p>
      <w:pPr>
        <w:spacing w:after="0" w:line="231"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21"/>
          <w:szCs w:val="21"/>
          <w:color w:val="auto"/>
        </w:rPr>
        <w:t>[_________], 20[__]</w:t>
      </w:r>
    </w:p>
    <w:p>
      <w:pPr>
        <w:spacing w:after="0" w:line="347" w:lineRule="exact"/>
        <w:rPr>
          <w:sz w:val="20"/>
          <w:szCs w:val="20"/>
          <w:color w:val="auto"/>
        </w:rPr>
      </w:pPr>
    </w:p>
    <w:p>
      <w:pPr>
        <w:jc w:val="both"/>
        <w:ind w:firstLine="642"/>
        <w:spacing w:after="0" w:line="264" w:lineRule="auto"/>
        <w:rPr>
          <w:sz w:val="20"/>
          <w:szCs w:val="20"/>
          <w:color w:val="auto"/>
        </w:rPr>
      </w:pPr>
      <w:r>
        <w:rPr>
          <w:rFonts w:ascii="Times New Roman" w:cs="Times New Roman" w:eastAsia="Times New Roman" w:hAnsi="Times New Roman"/>
          <w:sz w:val="21"/>
          <w:szCs w:val="21"/>
          <w:color w:val="auto"/>
        </w:rPr>
        <w:t>JACK HENRY &amp; ASSOCIATES, INC., a Delaware corporation (the “Borrower”), promises to pay to the order of [____________________________________] (the “Lender”) the aggregate unpaid principal amount of all Loans made by the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Lender to the Borrower pursuant to Section 2.1 of the Agreement (as hereinafter defined), in immediately available funds at the applicable office of U.S. Bank National Association, as Administrative Agent, together with interest on the unpaid principal amount hereof at the rates and on the dates set forth in the Agreement. The Borrower shall pay the principal of and accrued and unpaid interest on the Loans in full on the Facility Termination Date.</w:t>
      </w:r>
    </w:p>
    <w:p>
      <w:pPr>
        <w:spacing w:after="0" w:line="169"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The Lender shall, and is hereby authorized to, record on the schedule attached hereto, or to otherwise record in accordance with its usual practice, the date and amount of each Loan and the date and amount of each principal payment hereunder.</w:t>
      </w:r>
    </w:p>
    <w:p>
      <w:pPr>
        <w:spacing w:after="0" w:line="141"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1"/>
          <w:szCs w:val="21"/>
          <w:color w:val="auto"/>
        </w:rPr>
        <w:t>This Revolving Note is one of the Notes issued pursuant to, and is entitled to the benefits of, the Credit Agreement dated as of March 25, 2026 (which, as it may be amended or modified and in effect from time to time, is herein called the “Agreement”), among the Borrower, the lenders party thereto, including the Lender, the LC Issuer and U.S. Bank National Association, as Administrative Agent, to which Agreement reference is hereby made for a statement of the terms and conditions governing this Revolving Note, including the terms and conditions under which this Revolving Note may be prepaid or its maturity date accelerated. This Revolving Note is guaranteed pursuant to the Guaranty, all as more specifically described in the Agreement, and reference is made thereto for a statement of the terms and provisions thereof. Capitalized terms used herein and not otherwise defined herein are used with the meanings attributed to them in the Agreement.</w:t>
      </w:r>
    </w:p>
    <w:p>
      <w:pPr>
        <w:spacing w:after="0" w:line="189" w:lineRule="exact"/>
        <w:rPr>
          <w:sz w:val="20"/>
          <w:szCs w:val="20"/>
          <w:color w:val="auto"/>
        </w:rPr>
      </w:pPr>
    </w:p>
    <w:p>
      <w:pPr>
        <w:jc w:val="both"/>
        <w:ind w:firstLine="642"/>
        <w:spacing w:after="0" w:line="271" w:lineRule="auto"/>
        <w:rPr>
          <w:sz w:val="20"/>
          <w:szCs w:val="20"/>
          <w:color w:val="auto"/>
        </w:rPr>
      </w:pPr>
      <w:r>
        <w:rPr>
          <w:rFonts w:ascii="Times New Roman" w:cs="Times New Roman" w:eastAsia="Times New Roman" w:hAnsi="Times New Roman"/>
          <w:sz w:val="21"/>
          <w:szCs w:val="21"/>
          <w:color w:val="auto"/>
        </w:rPr>
        <w:t>In the event of default hereunder, the undersigned agree to pay all costs and expenses of collection, including reasonable attorneys’ fees. The undersigned waives demand, presentment, notice of nonpayment, protest, notice of protest and notice of dishonor.</w:t>
      </w:r>
    </w:p>
    <w:p>
      <w:pPr>
        <w:spacing w:after="0" w:line="158" w:lineRule="exact"/>
        <w:rPr>
          <w:sz w:val="20"/>
          <w:szCs w:val="20"/>
          <w:color w:val="auto"/>
        </w:rPr>
      </w:pPr>
    </w:p>
    <w:p>
      <w:pPr>
        <w:jc w:val="both"/>
        <w:ind w:firstLine="642"/>
        <w:spacing w:after="0" w:line="269" w:lineRule="auto"/>
        <w:rPr>
          <w:sz w:val="20"/>
          <w:szCs w:val="20"/>
          <w:color w:val="auto"/>
        </w:rPr>
      </w:pPr>
      <w:r>
        <w:rPr>
          <w:rFonts w:ascii="Times New Roman" w:cs="Times New Roman" w:eastAsia="Times New Roman" w:hAnsi="Times New Roman"/>
          <w:sz w:val="21"/>
          <w:szCs w:val="21"/>
          <w:color w:val="auto"/>
        </w:rPr>
        <w:t>THE VALIDITY, CONSTRUCTION AND ENFORCEABILITY OF THIS NOTE SHALL BE GOVERNED BY THE INTERNAL LAWS OF THE STATE OF NEW YORK WITHOUT GIVING EFFECT TO THE CONFLICT OF LAWS PRINCIPLES THEREOF, BUT GIVING EFFECT TO FEDERAL LAWS OF THE UNITED STATES APPLICABLE TO NATIONAL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D-1</w:t>
      </w:r>
    </w:p>
    <w:p>
      <w:pPr>
        <w:sectPr>
          <w:pgSz w:w="11900" w:h="16838" w:orient="portrait"/>
          <w:cols w:equalWidth="0" w:num="1">
            <w:col w:w="11240"/>
          </w:cols>
          <w:pgMar w:left="320" w:top="140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1"/>
          <w:szCs w:val="21"/>
          <w:color w:val="auto"/>
        </w:rPr>
        <w:t>JACK HENRY &amp; ASSOCIATES, INC.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-151130</wp:posOffset>
            </wp:positionV>
            <wp:extent cx="2547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18415</wp:posOffset>
            </wp:positionV>
            <wp:extent cx="30314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31490"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-151130</wp:posOffset>
            </wp:positionV>
            <wp:extent cx="25476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21"/>
          <w:szCs w:val="21"/>
          <w:color w:val="auto"/>
        </w:rPr>
        <w:t>EXH. D-2</w:t>
      </w:r>
    </w:p>
    <w:p>
      <w:pPr>
        <w:sectPr>
          <w:pgSz w:w="11900" w:h="16838" w:orient="portrait"/>
          <w:cols w:equalWidth="0" w:num="1">
            <w:col w:w="10059"/>
          </w:cols>
          <w:pgMar w:left="400" w:top="1436" w:right="1440" w:bottom="1440" w:gutter="0" w:footer="0" w:header="0"/>
        </w:sectPr>
      </w:pPr>
    </w:p>
    <w:bookmarkStart w:id="146" w:name="page147"/>
    <w:bookmarkEnd w:id="146"/>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OF LOANS AND PAYMENTS OF PRINCIPAL</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REVOLVING NOTE OF JACK HENRY &amp; ASSOCIATES, INC.,</w:t>
      </w:r>
    </w:p>
    <w:p>
      <w:pPr>
        <w:spacing w:after="0" w:line="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DATED [__________], 20[__]</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20" w:type="dxa"/>
            <w:vAlign w:val="bottom"/>
          </w:tcPr>
          <w:p>
            <w:pPr>
              <w:spacing w:after="0"/>
              <w:rPr>
                <w:sz w:val="21"/>
                <w:szCs w:val="21"/>
                <w:color w:val="auto"/>
              </w:rPr>
            </w:pPr>
          </w:p>
        </w:tc>
        <w:tc>
          <w:tcPr>
            <w:tcW w:w="2400" w:type="dxa"/>
            <w:vAlign w:val="bottom"/>
          </w:tcPr>
          <w:p>
            <w:pPr>
              <w:jc w:val="center"/>
              <w:ind w:left="13"/>
              <w:spacing w:after="0"/>
              <w:rPr>
                <w:sz w:val="20"/>
                <w:szCs w:val="20"/>
                <w:color w:val="auto"/>
              </w:rPr>
            </w:pPr>
            <w:r>
              <w:rPr>
                <w:rFonts w:ascii="Times New Roman" w:cs="Times New Roman" w:eastAsia="Times New Roman" w:hAnsi="Times New Roman"/>
                <w:sz w:val="21"/>
                <w:szCs w:val="21"/>
                <w:color w:val="auto"/>
              </w:rPr>
              <w:t>Principal</w:t>
            </w:r>
          </w:p>
        </w:tc>
        <w:tc>
          <w:tcPr>
            <w:tcW w:w="22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Maturity</w:t>
            </w:r>
          </w:p>
        </w:tc>
        <w:tc>
          <w:tcPr>
            <w:tcW w:w="22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Principal</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21"/>
                <w:szCs w:val="21"/>
                <w:color w:val="auto"/>
              </w:rPr>
              <w:t>Unpaid</w:t>
            </w:r>
          </w:p>
        </w:tc>
        <w:tc>
          <w:tcPr>
            <w:tcW w:w="0" w:type="dxa"/>
            <w:vAlign w:val="bottom"/>
          </w:tcPr>
          <w:p>
            <w:pPr>
              <w:spacing w:after="0"/>
              <w:rPr>
                <w:sz w:val="1"/>
                <w:szCs w:val="1"/>
                <w:color w:val="auto"/>
              </w:rPr>
            </w:pPr>
          </w:p>
        </w:tc>
      </w:tr>
      <w:tr>
        <w:trPr>
          <w:trHeight w:val="214"/>
        </w:trPr>
        <w:tc>
          <w:tcPr>
            <w:tcW w:w="2120" w:type="dxa"/>
            <w:vAlign w:val="bottom"/>
            <w:vMerge w:val="restart"/>
          </w:tcPr>
          <w:p>
            <w:pPr>
              <w:ind w:left="920"/>
              <w:spacing w:after="0"/>
              <w:rPr>
                <w:sz w:val="20"/>
                <w:szCs w:val="20"/>
                <w:color w:val="auto"/>
              </w:rPr>
            </w:pPr>
            <w:r>
              <w:rPr>
                <w:rFonts w:ascii="Times New Roman" w:cs="Times New Roman" w:eastAsia="Times New Roman" w:hAnsi="Times New Roman"/>
                <w:sz w:val="21"/>
                <w:szCs w:val="21"/>
                <w:color w:val="auto"/>
              </w:rPr>
              <w:t>Date</w:t>
            </w:r>
          </w:p>
        </w:tc>
        <w:tc>
          <w:tcPr>
            <w:tcW w:w="2400" w:type="dxa"/>
            <w:vAlign w:val="bottom"/>
          </w:tcPr>
          <w:p>
            <w:pPr>
              <w:jc w:val="center"/>
              <w:ind w:left="13"/>
              <w:spacing w:after="0" w:line="214" w:lineRule="exact"/>
              <w:rPr>
                <w:sz w:val="20"/>
                <w:szCs w:val="20"/>
                <w:color w:val="auto"/>
              </w:rPr>
            </w:pPr>
            <w:r>
              <w:rPr>
                <w:rFonts w:ascii="Times New Roman" w:cs="Times New Roman" w:eastAsia="Times New Roman" w:hAnsi="Times New Roman"/>
                <w:sz w:val="21"/>
                <w:szCs w:val="21"/>
                <w:color w:val="auto"/>
              </w:rPr>
              <w:t>Amount of</w:t>
            </w:r>
          </w:p>
        </w:tc>
        <w:tc>
          <w:tcPr>
            <w:tcW w:w="2260" w:type="dxa"/>
            <w:vAlign w:val="bottom"/>
          </w:tcPr>
          <w:p>
            <w:pPr>
              <w:jc w:val="center"/>
              <w:spacing w:after="0" w:line="214" w:lineRule="exact"/>
              <w:rPr>
                <w:sz w:val="20"/>
                <w:szCs w:val="20"/>
                <w:color w:val="auto"/>
              </w:rPr>
            </w:pPr>
            <w:r>
              <w:rPr>
                <w:rFonts w:ascii="Times New Roman" w:cs="Times New Roman" w:eastAsia="Times New Roman" w:hAnsi="Times New Roman"/>
                <w:sz w:val="21"/>
                <w:szCs w:val="21"/>
                <w:color w:val="auto"/>
              </w:rPr>
              <w:t>of Interest</w:t>
            </w:r>
          </w:p>
        </w:tc>
        <w:tc>
          <w:tcPr>
            <w:tcW w:w="2240" w:type="dxa"/>
            <w:vAlign w:val="bottom"/>
          </w:tcPr>
          <w:p>
            <w:pPr>
              <w:jc w:val="center"/>
              <w:spacing w:after="0" w:line="214" w:lineRule="exact"/>
              <w:rPr>
                <w:sz w:val="20"/>
                <w:szCs w:val="20"/>
                <w:color w:val="auto"/>
              </w:rPr>
            </w:pPr>
            <w:r>
              <w:rPr>
                <w:rFonts w:ascii="Times New Roman" w:cs="Times New Roman" w:eastAsia="Times New Roman" w:hAnsi="Times New Roman"/>
                <w:sz w:val="21"/>
                <w:szCs w:val="21"/>
                <w:color w:val="auto"/>
              </w:rPr>
              <w:t>Amount</w:t>
            </w: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120" w:type="dxa"/>
            <w:vAlign w:val="bottom"/>
            <w:tcBorders>
              <w:bottom w:val="single" w:sz="8" w:color="auto"/>
            </w:tcBorders>
            <w:vMerge w:val="continue"/>
          </w:tcPr>
          <w:p>
            <w:pPr>
              <w:spacing w:after="0"/>
              <w:rPr>
                <w:sz w:val="24"/>
                <w:szCs w:val="24"/>
                <w:color w:val="auto"/>
              </w:rPr>
            </w:pPr>
          </w:p>
        </w:tc>
        <w:tc>
          <w:tcPr>
            <w:tcW w:w="240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21"/>
                <w:szCs w:val="21"/>
                <w:color w:val="auto"/>
              </w:rPr>
              <w:t>Loan</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Period</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Paid</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Balance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D-3</w:t>
      </w:r>
    </w:p>
    <w:p>
      <w:pPr>
        <w:sectPr>
          <w:pgSz w:w="11900" w:h="16838" w:orient="portrait"/>
          <w:cols w:equalWidth="0" w:num="1">
            <w:col w:w="11240"/>
          </w:cols>
          <w:pgMar w:left="320" w:top="1440"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1"/>
          <w:szCs w:val="21"/>
          <w:b w:val="1"/>
          <w:bCs w:val="1"/>
          <w:color w:val="auto"/>
        </w:rPr>
        <w:t>EXHIBIT 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INCREASING LENDER SUPPLEMENT</w:t>
      </w: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INCREASING LENDER SUPPLEMENT, dated [__________], 20[__] (this “Supplement”), by and among each of</w:t>
      </w:r>
    </w:p>
    <w:p>
      <w:pPr>
        <w:spacing w:after="0" w:line="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signatories hereto, to the Credit Agreement, dated as of March 25, 2026 (as amended, restated, supplemented or otherwise modified from time to time, the “Credit Agreement”), among Jack Henry &amp; Associates, Inc. (the “Borrower”), the Lenders party thereto and U.S. Bank National Association, as administrative agent (in such capacity, the “Administrative Agent”).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 I T N E S E T H</w:t>
      </w:r>
    </w:p>
    <w:p>
      <w:pPr>
        <w:spacing w:after="0" w:line="227" w:lineRule="exact"/>
        <w:rPr>
          <w:sz w:val="20"/>
          <w:szCs w:val="20"/>
          <w:color w:val="auto"/>
        </w:rPr>
      </w:pPr>
    </w:p>
    <w:p>
      <w:pPr>
        <w:jc w:val="both"/>
        <w:ind w:firstLine="1284"/>
        <w:spacing w:after="0" w:line="269" w:lineRule="auto"/>
        <w:rPr>
          <w:sz w:val="20"/>
          <w:szCs w:val="20"/>
          <w:color w:val="auto"/>
        </w:rPr>
      </w:pPr>
      <w:r>
        <w:rPr>
          <w:rFonts w:ascii="Times New Roman" w:cs="Times New Roman" w:eastAsia="Times New Roman" w:hAnsi="Times New Roman"/>
          <w:sz w:val="21"/>
          <w:szCs w:val="21"/>
          <w:color w:val="auto"/>
        </w:rPr>
        <w:t>WHEREAS, pursuant to Section 2.25 of the Credit Agreement, the Borrower has the right, subject to the terms and conditions thereof, to effectuate from time to time an increase in commitments under the Credit Agreement by requesting one or more Lenders to increase the amount of its Commitment, extend Incremental Revolving Commitments, or extend Incremental Term Loan Commitments;</w:t>
      </w:r>
    </w:p>
    <w:p>
      <w:pPr>
        <w:spacing w:after="0" w:line="161" w:lineRule="exact"/>
        <w:rPr>
          <w:sz w:val="20"/>
          <w:szCs w:val="20"/>
          <w:color w:val="auto"/>
        </w:rPr>
      </w:pPr>
    </w:p>
    <w:p>
      <w:pPr>
        <w:jc w:val="both"/>
        <w:ind w:firstLine="1284"/>
        <w:spacing w:after="0" w:line="289" w:lineRule="auto"/>
        <w:rPr>
          <w:sz w:val="20"/>
          <w:szCs w:val="20"/>
          <w:color w:val="auto"/>
        </w:rPr>
      </w:pPr>
      <w:r>
        <w:rPr>
          <w:rFonts w:ascii="Times New Roman" w:cs="Times New Roman" w:eastAsia="Times New Roman" w:hAnsi="Times New Roman"/>
          <w:sz w:val="21"/>
          <w:szCs w:val="21"/>
          <w:color w:val="auto"/>
        </w:rPr>
        <w:t>WHEREAS, the Borrower has given notice to the Administrative Agent of its intention to exercise an Incremental Increase pursuant to such Section 2.25 of the Credit Agreement; and</w:t>
      </w:r>
    </w:p>
    <w:p>
      <w:pPr>
        <w:spacing w:after="0" w:line="141" w:lineRule="exact"/>
        <w:rPr>
          <w:sz w:val="20"/>
          <w:szCs w:val="20"/>
          <w:color w:val="auto"/>
        </w:rPr>
      </w:pPr>
    </w:p>
    <w:p>
      <w:pPr>
        <w:jc w:val="both"/>
        <w:ind w:firstLine="1284"/>
        <w:spacing w:after="0" w:line="302" w:lineRule="auto"/>
        <w:rPr>
          <w:sz w:val="20"/>
          <w:szCs w:val="20"/>
          <w:color w:val="auto"/>
        </w:rPr>
      </w:pPr>
      <w:r>
        <w:rPr>
          <w:rFonts w:ascii="Times New Roman" w:cs="Times New Roman" w:eastAsia="Times New Roman" w:hAnsi="Times New Roman"/>
          <w:sz w:val="21"/>
          <w:szCs w:val="21"/>
          <w:color w:val="auto"/>
        </w:rPr>
        <w:t>WHEREAS, pursuant to Section 2.25 of the Credit Agreement, the undersigned Increasing Lender now desires to extend an Incremental Increase by executing and delivering to the Borrower and the Administrative Agent this Supplement;</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NOW, THEREFORE, each of the parties hereto hereby agrees as follows:</w:t>
      </w:r>
    </w:p>
    <w:p>
      <w:pPr>
        <w:spacing w:after="0" w:line="227" w:lineRule="exact"/>
        <w:rPr>
          <w:sz w:val="20"/>
          <w:szCs w:val="20"/>
          <w:color w:val="auto"/>
        </w:rPr>
      </w:pPr>
    </w:p>
    <w:p>
      <w:pPr>
        <w:ind w:right="20" w:firstLine="1291"/>
        <w:spacing w:after="0" w:line="289" w:lineRule="auto"/>
        <w:tabs>
          <w:tab w:leader="none" w:pos="1657"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Increasing Lender agrees, subject to the terms and conditions of the Credit Agreement, that on the date of this Supplement it shall (check the box that applies):</w:t>
      </w:r>
    </w:p>
    <w:p>
      <w:pPr>
        <w:spacing w:after="0" w:line="141" w:lineRule="exact"/>
        <w:rPr>
          <w:sz w:val="20"/>
          <w:szCs w:val="20"/>
          <w:color w:val="auto"/>
        </w:rPr>
      </w:pPr>
    </w:p>
    <w:p>
      <w:pPr>
        <w:ind w:right="20" w:firstLine="1291"/>
        <w:spacing w:after="0" w:line="302" w:lineRule="auto"/>
        <w:tabs>
          <w:tab w:leader="none" w:pos="1902"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its Commitment increased by $[__________], thereby making the aggregate amount of its total Commitments equal to $[__________].</w:t>
      </w:r>
    </w:p>
    <w:p>
      <w:pPr>
        <w:spacing w:after="0" w:line="127" w:lineRule="exact"/>
        <w:rPr>
          <w:rFonts w:ascii="Times New Roman" w:cs="Times New Roman" w:eastAsia="Times New Roman" w:hAnsi="Times New Roman"/>
          <w:sz w:val="21"/>
          <w:szCs w:val="21"/>
          <w:color w:val="auto"/>
        </w:rPr>
      </w:pPr>
    </w:p>
    <w:p>
      <w:pPr>
        <w:ind w:left="1640" w:hanging="349"/>
        <w:spacing w:after="0"/>
        <w:tabs>
          <w:tab w:leader="none" w:pos="164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extend an Incremental Revolving Commitment in an amount equal to $[__________].</w:t>
      </w:r>
    </w:p>
    <w:p>
      <w:pPr>
        <w:spacing w:after="0" w:line="226" w:lineRule="exact"/>
        <w:rPr>
          <w:rFonts w:ascii="Times New Roman" w:cs="Times New Roman" w:eastAsia="Times New Roman" w:hAnsi="Times New Roman"/>
          <w:sz w:val="21"/>
          <w:szCs w:val="21"/>
          <w:color w:val="auto"/>
        </w:rPr>
      </w:pPr>
    </w:p>
    <w:p>
      <w:pPr>
        <w:ind w:left="1640" w:hanging="349"/>
        <w:spacing w:after="0"/>
        <w:tabs>
          <w:tab w:leader="none" w:pos="164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extend an Incremental Term Loan Commitment in an amount equal to $[__________].</w:t>
      </w:r>
    </w:p>
    <w:p>
      <w:pPr>
        <w:spacing w:after="0" w:line="227" w:lineRule="exact"/>
        <w:rPr>
          <w:sz w:val="20"/>
          <w:szCs w:val="20"/>
          <w:color w:val="auto"/>
        </w:rPr>
      </w:pPr>
    </w:p>
    <w:p>
      <w:pPr>
        <w:ind w:firstLine="1291"/>
        <w:spacing w:after="0" w:line="289" w:lineRule="auto"/>
        <w:tabs>
          <w:tab w:leader="none" w:pos="183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hereby represents and warrants that no Default or Event of Default has occurred and is continuing on and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E-1</w:t>
      </w:r>
    </w:p>
    <w:p>
      <w:pPr>
        <w:sectPr>
          <w:pgSz w:w="11900" w:h="16838" w:orient="portrait"/>
          <w:cols w:equalWidth="0" w:num="1">
            <w:col w:w="11240"/>
          </w:cols>
          <w:pgMar w:left="320" w:top="1405" w:right="339" w:bottom="1440" w:gutter="0" w:footer="0" w:header="0"/>
        </w:sectPr>
      </w:pPr>
    </w:p>
    <w:bookmarkStart w:id="148" w:name="page149"/>
    <w:bookmarkEnd w:id="148"/>
    <w:p>
      <w:pPr>
        <w:ind w:left="1660" w:hanging="369"/>
        <w:spacing w:after="0"/>
        <w:tabs>
          <w:tab w:leader="none" w:pos="16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Terms defined in the Credit Agreement shall have their defined meanings when used herein.</w:t>
      </w:r>
    </w:p>
    <w:p>
      <w:pPr>
        <w:spacing w:after="0" w:line="226" w:lineRule="exact"/>
        <w:rPr>
          <w:rFonts w:ascii="Times New Roman" w:cs="Times New Roman" w:eastAsia="Times New Roman" w:hAnsi="Times New Roman"/>
          <w:sz w:val="21"/>
          <w:szCs w:val="21"/>
          <w:color w:val="auto"/>
        </w:rPr>
      </w:pPr>
    </w:p>
    <w:p>
      <w:pPr>
        <w:ind w:left="1660" w:hanging="369"/>
        <w:spacing w:after="0"/>
        <w:tabs>
          <w:tab w:leader="none" w:pos="16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Supplement shall be governed by, and construed in accordance with, the laws of the State of New York.</w:t>
      </w:r>
    </w:p>
    <w:p>
      <w:pPr>
        <w:spacing w:after="0" w:line="226" w:lineRule="exact"/>
        <w:rPr>
          <w:rFonts w:ascii="Times New Roman" w:cs="Times New Roman" w:eastAsia="Times New Roman" w:hAnsi="Times New Roman"/>
          <w:sz w:val="21"/>
          <w:szCs w:val="21"/>
          <w:color w:val="auto"/>
        </w:rPr>
      </w:pPr>
    </w:p>
    <w:p>
      <w:pPr>
        <w:jc w:val="both"/>
        <w:ind w:firstLine="1291"/>
        <w:spacing w:after="0" w:line="277" w:lineRule="auto"/>
        <w:tabs>
          <w:tab w:leader="none" w:pos="173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54" w:lineRule="exact"/>
        <w:rPr>
          <w:sz w:val="20"/>
          <w:szCs w:val="20"/>
          <w:color w:val="auto"/>
        </w:rPr>
      </w:pPr>
    </w:p>
    <w:p>
      <w:pPr>
        <w:ind w:firstLine="1284"/>
        <w:spacing w:after="0" w:line="289" w:lineRule="auto"/>
        <w:rPr>
          <w:sz w:val="20"/>
          <w:szCs w:val="20"/>
          <w:color w:val="auto"/>
        </w:rPr>
      </w:pPr>
      <w:r>
        <w:rPr>
          <w:rFonts w:ascii="Times New Roman" w:cs="Times New Roman" w:eastAsia="Times New Roman" w:hAnsi="Times New Roman"/>
          <w:sz w:val="21"/>
          <w:szCs w:val="21"/>
          <w:color w:val="auto"/>
        </w:rPr>
        <w:t>IN WITNESS WHEREOF, each of the undersigned has caused this Supplement to be executed and delivered by a duly authorized officer on the date first above written.</w:t>
      </w:r>
    </w:p>
    <w:p>
      <w:pPr>
        <w:spacing w:after="0" w:line="3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[INSERT NAME OF INCREASING LENDER]</w:t>
      </w:r>
    </w:p>
    <w:p>
      <w:pPr>
        <w:spacing w:after="0" w:line="200" w:lineRule="exact"/>
        <w:rPr>
          <w:sz w:val="20"/>
          <w:szCs w:val="20"/>
          <w:color w:val="auto"/>
        </w:rPr>
      </w:pPr>
    </w:p>
    <w:p>
      <w:pPr>
        <w:spacing w:after="0" w:line="25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By:____________________________________</w:t>
      </w:r>
    </w:p>
    <w:p>
      <w:pPr>
        <w:spacing w:after="0" w:line="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Name:</w:t>
      </w:r>
    </w:p>
    <w:p>
      <w:pPr>
        <w:spacing w:after="0" w:line="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 to as of the date first written above: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JACK HENRY &amp; ASSOCIATES, INC.</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as of the date first written above: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BANK NATIONAL ASSOCIATION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 E-2</w:t>
      </w:r>
    </w:p>
    <w:p>
      <w:pPr>
        <w:sectPr>
          <w:pgSz w:w="11900" w:h="16838" w:orient="portrait"/>
          <w:cols w:equalWidth="0" w:num="1">
            <w:col w:w="11240"/>
          </w:cols>
          <w:pgMar w:left="320" w:top="1409"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1"/>
          <w:szCs w:val="21"/>
          <w:b w:val="1"/>
          <w:bCs w:val="1"/>
          <w:color w:val="auto"/>
        </w:rPr>
        <w:t>EXHIBIT F</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AUGMENTING LENDER SUPPLEMENT</w:t>
      </w: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AUGMENTING LENDER SUPPLEMENT, dated [__________], 20[__] (this “Supplement”), to the Credit</w:t>
      </w:r>
    </w:p>
    <w:p>
      <w:pPr>
        <w:spacing w:after="0" w:line="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Agreement, dated as of March 25, 2026 (as amended, restated, supplemented or otherwise modified from time to time, the “Credit Agreement”), among Jack Henry &amp; Associates, Inc. (the “Borrower”), the Lenders party thereto and U.S. Bank National Association, as administrative agent (in such capacity, the “Administrative Agent”).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 I T N E S S E T H</w:t>
      </w:r>
    </w:p>
    <w:p>
      <w:pPr>
        <w:spacing w:after="0" w:line="227" w:lineRule="exact"/>
        <w:rPr>
          <w:sz w:val="20"/>
          <w:szCs w:val="20"/>
          <w:color w:val="auto"/>
        </w:rPr>
      </w:pPr>
    </w:p>
    <w:p>
      <w:pPr>
        <w:jc w:val="both"/>
        <w:ind w:firstLine="1284"/>
        <w:spacing w:after="0" w:line="269" w:lineRule="auto"/>
        <w:rPr>
          <w:sz w:val="20"/>
          <w:szCs w:val="20"/>
          <w:color w:val="auto"/>
        </w:rPr>
      </w:pPr>
      <w:r>
        <w:rPr>
          <w:rFonts w:ascii="Times New Roman" w:cs="Times New Roman" w:eastAsia="Times New Roman" w:hAnsi="Times New Roman"/>
          <w:sz w:val="21"/>
          <w:szCs w:val="21"/>
          <w:color w:val="auto"/>
        </w:rPr>
        <w:t>WHEREAS, the Credit Agreement provides in Section 2.25 thereof that any bank, financial institution or other entity that is an Eligible Assignee may extend commitments pursuant to an Incremental Increase under the Credit Agreement subject to the approval of the Borrower and the Administrative Agent, by executing and delivering to the Borrower and the Administrative Agent a supplement to the Credit Agreement in substantially the form of this Supplement; and</w:t>
      </w:r>
    </w:p>
    <w:p>
      <w:pPr>
        <w:spacing w:after="0" w:line="161" w:lineRule="exact"/>
        <w:rPr>
          <w:sz w:val="20"/>
          <w:szCs w:val="20"/>
          <w:color w:val="auto"/>
        </w:rPr>
      </w:pPr>
    </w:p>
    <w:p>
      <w:pPr>
        <w:jc w:val="both"/>
        <w:ind w:firstLine="1284"/>
        <w:spacing w:after="0" w:line="289" w:lineRule="auto"/>
        <w:rPr>
          <w:sz w:val="20"/>
          <w:szCs w:val="20"/>
          <w:color w:val="auto"/>
        </w:rPr>
      </w:pPr>
      <w:r>
        <w:rPr>
          <w:rFonts w:ascii="Times New Roman" w:cs="Times New Roman" w:eastAsia="Times New Roman" w:hAnsi="Times New Roman"/>
          <w:sz w:val="21"/>
          <w:szCs w:val="21"/>
          <w:color w:val="auto"/>
        </w:rPr>
        <w:t>WHEREAS, the undersigned Augmenting Lender was not an original party to the Credit Agreement but now desires to become a party thereto;</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NOW, THEREFORE, each of the parties hereto hereby agrees as follows:</w:t>
      </w:r>
    </w:p>
    <w:p>
      <w:pPr>
        <w:spacing w:after="0" w:line="240" w:lineRule="exact"/>
        <w:rPr>
          <w:sz w:val="20"/>
          <w:szCs w:val="20"/>
          <w:color w:val="auto"/>
        </w:rPr>
      </w:pPr>
    </w:p>
    <w:p>
      <w:pPr>
        <w:jc w:val="both"/>
        <w:ind w:firstLine="1291"/>
        <w:spacing w:after="0" w:line="271" w:lineRule="auto"/>
        <w:tabs>
          <w:tab w:leader="none" w:pos="166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to extend credit as follows (check the box that applies):</w:t>
      </w:r>
    </w:p>
    <w:p>
      <w:pPr>
        <w:spacing w:after="0" w:line="158" w:lineRule="exact"/>
        <w:rPr>
          <w:sz w:val="20"/>
          <w:szCs w:val="20"/>
          <w:color w:val="auto"/>
        </w:rPr>
      </w:pPr>
    </w:p>
    <w:p>
      <w:pPr>
        <w:ind w:left="1640" w:hanging="349"/>
        <w:spacing w:after="0"/>
        <w:tabs>
          <w:tab w:leader="none" w:pos="164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Commitment in an amount equal to $[__________].</w:t>
      </w:r>
    </w:p>
    <w:p>
      <w:pPr>
        <w:spacing w:after="0" w:line="226" w:lineRule="exact"/>
        <w:rPr>
          <w:rFonts w:ascii="Times New Roman" w:cs="Times New Roman" w:eastAsia="Times New Roman" w:hAnsi="Times New Roman"/>
          <w:sz w:val="21"/>
          <w:szCs w:val="21"/>
          <w:color w:val="auto"/>
        </w:rPr>
      </w:pPr>
    </w:p>
    <w:p>
      <w:pPr>
        <w:ind w:left="1640" w:hanging="349"/>
        <w:spacing w:after="0"/>
        <w:tabs>
          <w:tab w:leader="none" w:pos="164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Incremental Revolving Commitment in an amount equal to $[__________].</w:t>
      </w:r>
    </w:p>
    <w:p>
      <w:pPr>
        <w:spacing w:after="0" w:line="239" w:lineRule="exact"/>
        <w:rPr>
          <w:rFonts w:ascii="Times New Roman" w:cs="Times New Roman" w:eastAsia="Times New Roman" w:hAnsi="Times New Roman"/>
          <w:sz w:val="21"/>
          <w:szCs w:val="21"/>
          <w:color w:val="auto"/>
        </w:rPr>
      </w:pPr>
    </w:p>
    <w:p>
      <w:pPr>
        <w:ind w:left="1640" w:hanging="349"/>
        <w:spacing w:after="0"/>
        <w:tabs>
          <w:tab w:leader="none" w:pos="164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Incremental Term Loan Commitment in an amount equal to $[__________].</w:t>
      </w:r>
    </w:p>
    <w:p>
      <w:pPr>
        <w:spacing w:after="0" w:line="227" w:lineRule="exact"/>
        <w:rPr>
          <w:sz w:val="20"/>
          <w:szCs w:val="20"/>
          <w:color w:val="auto"/>
        </w:rPr>
      </w:pPr>
    </w:p>
    <w:p>
      <w:pPr>
        <w:jc w:val="both"/>
        <w:ind w:firstLine="1291"/>
        <w:spacing w:after="0" w:line="260" w:lineRule="auto"/>
        <w:tabs>
          <w:tab w:leader="none" w:pos="169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Augmenting Lender (a) represents and warrants that it is legally authorized to enter into this Supplement; (b) confirms that it has received a copy of the Credit Agreement, together with copies of the most recent financial statements delivered pursuant to Section 6.1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F-1</w:t>
      </w:r>
    </w:p>
    <w:p>
      <w:pPr>
        <w:sectPr>
          <w:pgSz w:w="11900" w:h="16838" w:orient="portrait"/>
          <w:cols w:equalWidth="0" w:num="1">
            <w:col w:w="11240"/>
          </w:cols>
          <w:pgMar w:left="320" w:top="1405" w:right="339" w:bottom="1440" w:gutter="0" w:footer="0" w:header="0"/>
        </w:sectPr>
      </w:pPr>
    </w:p>
    <w:bookmarkStart w:id="150" w:name="page151"/>
    <w:bookmarkEnd w:id="150"/>
    <w:p>
      <w:pPr>
        <w:jc w:val="both"/>
        <w:spacing w:after="0" w:line="260" w:lineRule="auto"/>
        <w:rPr>
          <w:sz w:val="20"/>
          <w:szCs w:val="20"/>
          <w:color w:val="auto"/>
        </w:rPr>
      </w:pPr>
      <w:r>
        <w:rPr>
          <w:rFonts w:ascii="Times New Roman" w:cs="Times New Roman" w:eastAsia="Times New Roman" w:hAnsi="Times New Roman"/>
          <w:sz w:val="21"/>
          <w:szCs w:val="21"/>
          <w:color w:val="auto"/>
        </w:rPr>
        <w:t>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w:t>
      </w:r>
    </w:p>
    <w:p>
      <w:pPr>
        <w:spacing w:after="0" w:line="2" w:lineRule="exact"/>
        <w:rPr>
          <w:sz w:val="20"/>
          <w:szCs w:val="20"/>
          <w:color w:val="auto"/>
        </w:rPr>
      </w:pPr>
    </w:p>
    <w:p>
      <w:pPr>
        <w:ind w:firstLine="7"/>
        <w:spacing w:after="0" w:line="278" w:lineRule="auto"/>
        <w:tabs>
          <w:tab w:leader="none" w:pos="309"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that it will be bound by the provisions of the Credit Agreement and will perform in accordance with its terms all the obligations which by the terms of the Credit Agreement are required to be performed by it as a Lender.</w:t>
      </w:r>
    </w:p>
    <w:p>
      <w:pPr>
        <w:spacing w:after="0" w:line="152" w:lineRule="exact"/>
        <w:rPr>
          <w:sz w:val="20"/>
          <w:szCs w:val="20"/>
          <w:color w:val="auto"/>
        </w:rPr>
      </w:pPr>
    </w:p>
    <w:p>
      <w:pPr>
        <w:ind w:left="1940" w:right="1600" w:hanging="649"/>
        <w:spacing w:after="0" w:line="465" w:lineRule="auto"/>
        <w:tabs>
          <w:tab w:leader="none" w:pos="166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undersigned’s address for notices for the purposes of the Credit Agreement is as follows: [___________]</w:t>
      </w:r>
    </w:p>
    <w:p>
      <w:pPr>
        <w:ind w:firstLine="1291"/>
        <w:spacing w:after="0" w:line="302" w:lineRule="auto"/>
        <w:tabs>
          <w:tab w:leader="none" w:pos="1836"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hereby represents and warrants that no Default or Event of Default has occurred and is continuing on and as of the date hereof.</w:t>
      </w:r>
    </w:p>
    <w:p>
      <w:pPr>
        <w:spacing w:after="0" w:line="127" w:lineRule="exact"/>
        <w:rPr>
          <w:rFonts w:ascii="Times New Roman" w:cs="Times New Roman" w:eastAsia="Times New Roman" w:hAnsi="Times New Roman"/>
          <w:sz w:val="21"/>
          <w:szCs w:val="21"/>
          <w:color w:val="auto"/>
        </w:rPr>
      </w:pPr>
    </w:p>
    <w:p>
      <w:pPr>
        <w:ind w:left="1660" w:hanging="369"/>
        <w:spacing w:after="0"/>
        <w:tabs>
          <w:tab w:leader="none" w:pos="166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Terms defined in the Credit Agreement shall have their defined meanings when used herein.</w:t>
      </w:r>
    </w:p>
    <w:p>
      <w:pPr>
        <w:spacing w:after="0" w:line="226" w:lineRule="exact"/>
        <w:rPr>
          <w:rFonts w:ascii="Times New Roman" w:cs="Times New Roman" w:eastAsia="Times New Roman" w:hAnsi="Times New Roman"/>
          <w:sz w:val="21"/>
          <w:szCs w:val="21"/>
          <w:color w:val="auto"/>
        </w:rPr>
      </w:pPr>
    </w:p>
    <w:p>
      <w:pPr>
        <w:ind w:left="1660" w:hanging="369"/>
        <w:spacing w:after="0"/>
        <w:tabs>
          <w:tab w:leader="none" w:pos="166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Supplement shall be governed by, and construed in accordance with, the laws of the State of New York.</w:t>
      </w:r>
    </w:p>
    <w:p>
      <w:pPr>
        <w:spacing w:after="0" w:line="226" w:lineRule="exact"/>
        <w:rPr>
          <w:rFonts w:ascii="Times New Roman" w:cs="Times New Roman" w:eastAsia="Times New Roman" w:hAnsi="Times New Roman"/>
          <w:sz w:val="21"/>
          <w:szCs w:val="21"/>
          <w:color w:val="auto"/>
        </w:rPr>
      </w:pPr>
    </w:p>
    <w:p>
      <w:pPr>
        <w:jc w:val="both"/>
        <w:ind w:firstLine="1291"/>
        <w:spacing w:after="0" w:line="271" w:lineRule="auto"/>
        <w:tabs>
          <w:tab w:leader="none" w:pos="173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F-2</w:t>
      </w:r>
    </w:p>
    <w:p>
      <w:pPr>
        <w:sectPr>
          <w:pgSz w:w="11900" w:h="16838" w:orient="portrait"/>
          <w:cols w:equalWidth="0" w:num="1">
            <w:col w:w="11240"/>
          </w:cols>
          <w:pgMar w:left="320" w:top="1409" w:right="339" w:bottom="1440" w:gutter="0" w:footer="0" w:header="0"/>
        </w:sectPr>
      </w:pPr>
    </w:p>
    <w:bookmarkStart w:id="151" w:name="page152"/>
    <w:bookmarkEnd w:id="151"/>
    <w:p>
      <w:pPr>
        <w:ind w:firstLine="1284"/>
        <w:spacing w:after="0" w:line="289" w:lineRule="auto"/>
        <w:rPr>
          <w:sz w:val="20"/>
          <w:szCs w:val="20"/>
          <w:color w:val="auto"/>
        </w:rPr>
      </w:pPr>
      <w:r>
        <w:rPr>
          <w:rFonts w:ascii="Times New Roman" w:cs="Times New Roman" w:eastAsia="Times New Roman" w:hAnsi="Times New Roman"/>
          <w:sz w:val="21"/>
          <w:szCs w:val="21"/>
          <w:color w:val="auto"/>
        </w:rPr>
        <w:t>IN WITNESS WHEREOF, each of the undersigned has caused this Supplement to be executed and delivered by a duly authorized officer on the date first above written.</w:t>
      </w:r>
    </w:p>
    <w:p>
      <w:pPr>
        <w:spacing w:after="0" w:line="3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[INSERT NAME OF AUGMENTING LENDER]</w:t>
      </w:r>
    </w:p>
    <w:p>
      <w:pPr>
        <w:spacing w:after="0" w:line="200" w:lineRule="exact"/>
        <w:rPr>
          <w:sz w:val="20"/>
          <w:szCs w:val="20"/>
          <w:color w:val="auto"/>
        </w:rPr>
      </w:pPr>
    </w:p>
    <w:p>
      <w:pPr>
        <w:spacing w:after="0" w:line="25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2884170</wp:posOffset>
            </wp:positionH>
            <wp:positionV relativeFrom="paragraph">
              <wp:posOffset>-7620</wp:posOffset>
            </wp:positionV>
            <wp:extent cx="5435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Name:</w:t>
      </w:r>
    </w:p>
    <w:p>
      <w:pPr>
        <w:spacing w:after="0" w:line="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 to as of the date first written above: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JACK HENRY &amp; ASSOCIATES,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as of the date first written above: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BANK NATIONAL ASSOCIATION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 F-3</w:t>
      </w:r>
    </w:p>
    <w:p>
      <w:pPr>
        <w:sectPr>
          <w:pgSz w:w="11900" w:h="16838" w:orient="portrait"/>
          <w:cols w:equalWidth="0" w:num="1">
            <w:col w:w="11240"/>
          </w:cols>
          <w:pgMar w:left="320" w:top="1409" w:right="3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G</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LIST OF CLOSING DOCUMENTS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JACK HENRY &amp; ASSOCIATES, INC.</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CREDIT FACILITY</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March 25, 2026</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LIST OF CLOSING DOCUMENTS</w:t>
      </w:r>
      <w:r>
        <w:rPr>
          <w:rFonts w:ascii="Times New Roman" w:cs="Times New Roman" w:eastAsia="Times New Roman" w:hAnsi="Times New Roman"/>
          <w:sz w:val="27"/>
          <w:szCs w:val="27"/>
          <w:color w:val="auto"/>
          <w:vertAlign w:val="superscript"/>
        </w:rPr>
        <w:t>9</w:t>
      </w:r>
    </w:p>
    <w:p>
      <w:pPr>
        <w:spacing w:after="0" w:line="159" w:lineRule="exact"/>
        <w:rPr>
          <w:sz w:val="20"/>
          <w:szCs w:val="20"/>
          <w:color w:val="auto"/>
        </w:rPr>
      </w:pPr>
    </w:p>
    <w:p>
      <w:pPr>
        <w:ind w:left="4800" w:hanging="418"/>
        <w:spacing w:after="0"/>
        <w:tabs>
          <w:tab w:leader="none" w:pos="4800"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LOAN DOCUMENTS</w:t>
      </w:r>
    </w:p>
    <w:p>
      <w:pPr>
        <w:spacing w:after="0" w:line="230" w:lineRule="exact"/>
        <w:rPr>
          <w:rFonts w:ascii="Times New Roman" w:cs="Times New Roman" w:eastAsia="Times New Roman" w:hAnsi="Times New Roman"/>
          <w:sz w:val="21"/>
          <w:szCs w:val="21"/>
          <w:color w:val="auto"/>
        </w:rPr>
      </w:pPr>
    </w:p>
    <w:p>
      <w:pPr>
        <w:jc w:val="both"/>
        <w:ind w:left="640" w:hanging="633"/>
        <w:spacing w:after="0" w:line="269" w:lineRule="auto"/>
        <w:tabs>
          <w:tab w:leader="none" w:pos="569"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Agreement, dated as of March 25, 2026, among Jack Henry &amp; Associates, Inc., a Delaware corporation (the “Borrower”), the Lenders party thereto and U.S. Bank National Association, as administrative agent (in such capacity, the “Administrative Agent”), evidencing a revolving credit facility to the Borrower from the Lenders in an initial aggregate principal amount of $1,000,000,000.</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SCHEDULES</w:t>
      </w:r>
    </w:p>
    <w:p>
      <w:pPr>
        <w:spacing w:after="0" w:line="22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1"/>
          <w:szCs w:val="21"/>
          <w:color w:val="auto"/>
        </w:rPr>
        <w:t>Schedule 1</w:t>
        <w:tab/>
        <w:t>Commitments</w:t>
      </w:r>
    </w:p>
    <w:p>
      <w:pPr>
        <w:spacing w:after="0" w:line="3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1"/>
          <w:szCs w:val="21"/>
          <w:b w:val="1"/>
          <w:bCs w:val="1"/>
          <w:i w:val="1"/>
          <w:iCs w:val="1"/>
          <w:color w:val="auto"/>
        </w:rPr>
        <w:t>Schedule 2.19</w:t>
        <w:tab/>
        <w:t>Existing Letters of Credit</w:t>
      </w:r>
    </w:p>
    <w:p>
      <w:pPr>
        <w:spacing w:after="0" w:line="1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b w:val="1"/>
          <w:bCs w:val="1"/>
          <w:i w:val="1"/>
          <w:iCs w:val="1"/>
          <w:color w:val="auto"/>
        </w:rPr>
        <w:t>Schedule 5.8</w:t>
        <w:tab/>
        <w:t>Subsidiaries</w:t>
      </w:r>
    </w:p>
    <w:p>
      <w:pPr>
        <w:spacing w:after="0" w:line="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1"/>
          <w:szCs w:val="21"/>
          <w:b w:val="1"/>
          <w:bCs w:val="1"/>
          <w:i w:val="1"/>
          <w:iCs w:val="1"/>
          <w:color w:val="auto"/>
        </w:rPr>
        <w:t>Schedule 5.14</w:t>
        <w:tab/>
        <w:t>Properties</w:t>
      </w:r>
    </w:p>
    <w:p>
      <w:pPr>
        <w:spacing w:after="0" w:line="1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1"/>
          <w:szCs w:val="21"/>
          <w:b w:val="1"/>
          <w:bCs w:val="1"/>
          <w:i w:val="1"/>
          <w:iCs w:val="1"/>
          <w:color w:val="auto"/>
        </w:rPr>
        <w:t>Schedule 6.11</w:t>
        <w:tab/>
        <w:t>Indebtedness</w:t>
      </w:r>
    </w:p>
    <w:p>
      <w:pPr>
        <w:spacing w:after="0" w:line="1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1"/>
          <w:szCs w:val="21"/>
          <w:b w:val="1"/>
          <w:bCs w:val="1"/>
          <w:i w:val="1"/>
          <w:iCs w:val="1"/>
          <w:color w:val="auto"/>
        </w:rPr>
        <w:t>Schedule 6.14</w:t>
        <w:tab/>
        <w:t>Investments</w:t>
      </w:r>
    </w:p>
    <w:p>
      <w:pPr>
        <w:spacing w:after="0" w:line="1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1"/>
          <w:szCs w:val="21"/>
          <w:b w:val="1"/>
          <w:bCs w:val="1"/>
          <w:i w:val="1"/>
          <w:iCs w:val="1"/>
          <w:color w:val="auto"/>
        </w:rPr>
        <w:t>Schedule 6.16</w:t>
        <w:tab/>
        <w:t>Liens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EXHIBITS</w:t>
      </w:r>
    </w:p>
    <w:p>
      <w:pPr>
        <w:spacing w:after="0" w:line="22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Exhibit A</w:t>
        <w:tab/>
        <w:t>Form of Compliance Certificate</w:t>
      </w:r>
    </w:p>
    <w:p>
      <w:pPr>
        <w:spacing w:after="0" w:line="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Exhibit B</w:t>
        <w:tab/>
        <w:t>Form of Assignment and Assumption</w:t>
      </w:r>
    </w:p>
    <w:p>
      <w:pPr>
        <w:spacing w:after="0" w:line="2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color w:val="auto"/>
        </w:rPr>
        <w:t>Exhibit C-1</w:t>
        <w:tab/>
        <w:t>Form of Borrowing Notice</w:t>
      </w:r>
    </w:p>
    <w:p>
      <w:pPr>
        <w:spacing w:after="0" w:line="1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color w:val="auto"/>
        </w:rPr>
        <w:t>Exhibit C-2</w:t>
        <w:tab/>
        <w:t>Form of Conversion/Continuation Notice</w:t>
      </w:r>
    </w:p>
    <w:p>
      <w:pPr>
        <w:spacing w:after="0" w:line="1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color w:val="auto"/>
        </w:rPr>
        <w:t>Exhibit C-3</w:t>
        <w:tab/>
        <w:t>Form of Payment Notice</w:t>
      </w:r>
    </w:p>
    <w:p>
      <w:pPr>
        <w:spacing w:after="0" w:line="1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auto"/>
        </w:rPr>
        <w:t>Exhibit D</w:t>
        <w:tab/>
        <w:t>Form of Revolving Note</w:t>
      </w:r>
    </w:p>
    <w:p>
      <w:pPr>
        <w:spacing w:after="0" w:line="1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Exhibit E</w:t>
        <w:tab/>
        <w:t>Form of Increasing Lender Supplement</w:t>
      </w:r>
    </w:p>
    <w:p>
      <w:pPr>
        <w:spacing w:after="0" w:line="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Exhibit F</w:t>
        <w:tab/>
        <w:t>Form of Augmenting Lender Supplement</w:t>
      </w:r>
    </w:p>
    <w:p>
      <w:pPr>
        <w:spacing w:after="0" w:line="1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auto"/>
        </w:rPr>
        <w:t>Exhibit G</w:t>
        <w:tab/>
        <w:t>List of Closing Documents</w:t>
      </w:r>
    </w:p>
    <w:p>
      <w:pPr>
        <w:spacing w:after="0" w:line="1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1"/>
          <w:szCs w:val="21"/>
          <w:color w:val="auto"/>
        </w:rPr>
        <w:t>Exhibit H</w:t>
        <w:tab/>
        <w:t>Form of Notice of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273685</wp:posOffset>
            </wp:positionV>
            <wp:extent cx="16306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500" w:firstLine="7"/>
        <w:spacing w:after="0" w:line="227" w:lineRule="auto"/>
        <w:tabs>
          <w:tab w:leader="none" w:pos="102" w:val="left"/>
        </w:tabs>
        <w:numPr>
          <w:ilvl w:val="0"/>
          <w:numId w:val="1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Each capitalized term used herein and not defined herein shall have the meaning assigned to such term in the above-defined Credit Agreement. Items appearing in </w:t>
      </w:r>
      <w:r>
        <w:rPr>
          <w:rFonts w:ascii="Times New Roman" w:cs="Times New Roman" w:eastAsia="Times New Roman" w:hAnsi="Times New Roman"/>
          <w:sz w:val="18"/>
          <w:szCs w:val="18"/>
          <w:b w:val="1"/>
          <w:bCs w:val="1"/>
          <w:color w:val="auto"/>
        </w:rPr>
        <w:t>bold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italics</w:t>
      </w:r>
      <w:r>
        <w:rPr>
          <w:rFonts w:ascii="Times New Roman" w:cs="Times New Roman" w:eastAsia="Times New Roman" w:hAnsi="Times New Roman"/>
          <w:sz w:val="18"/>
          <w:szCs w:val="18"/>
          <w:color w:val="auto"/>
        </w:rPr>
        <w:t xml:space="preserve"> shall be prepared and/or provided by the Borrower and/or Borrower’s counsel.</w:t>
      </w: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G-1</w:t>
      </w:r>
    </w:p>
    <w:p>
      <w:pPr>
        <w:sectPr>
          <w:pgSz w:w="11900" w:h="16838" w:orient="portrait"/>
          <w:cols w:equalWidth="0" w:num="1">
            <w:col w:w="11240"/>
          </w:cols>
          <w:pgMar w:left="320" w:top="1405" w:right="339" w:bottom="1440" w:gutter="0" w:footer="0" w:header="0"/>
          <w:type w:val="continuous"/>
        </w:sectPr>
      </w:pPr>
    </w:p>
    <w:bookmarkStart w:id="153" w:name="page154"/>
    <w:bookmarkEnd w:id="153"/>
    <w:p>
      <w:pPr>
        <w:ind w:left="640" w:hanging="633"/>
        <w:spacing w:after="0" w:line="289" w:lineRule="auto"/>
        <w:tabs>
          <w:tab w:leader="none" w:pos="376"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Notes executed by the Borrower in favor of each of the Lenders, if any, which has requested a note pursuant to Section 2.13 of the Credit Agreement.</w:t>
      </w:r>
    </w:p>
    <w:p>
      <w:pPr>
        <w:spacing w:after="0" w:line="140" w:lineRule="exact"/>
        <w:rPr>
          <w:rFonts w:ascii="Times New Roman" w:cs="Times New Roman" w:eastAsia="Times New Roman" w:hAnsi="Times New Roman"/>
          <w:sz w:val="21"/>
          <w:szCs w:val="21"/>
          <w:color w:val="auto"/>
        </w:rPr>
      </w:pPr>
    </w:p>
    <w:p>
      <w:pPr>
        <w:ind w:left="640" w:hanging="633"/>
        <w:spacing w:after="0" w:line="302" w:lineRule="auto"/>
        <w:tabs>
          <w:tab w:leader="none" w:pos="372"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Guaranty executed by the initial Guarantors (collectively with the Borrower, the “Loan Parties”) in favor of the Administrative Agent.</w:t>
      </w:r>
    </w:p>
    <w:p>
      <w:pPr>
        <w:spacing w:after="0" w:line="123" w:lineRule="exact"/>
        <w:rPr>
          <w:rFonts w:ascii="Times New Roman" w:cs="Times New Roman" w:eastAsia="Times New Roman" w:hAnsi="Times New Roman"/>
          <w:sz w:val="21"/>
          <w:szCs w:val="21"/>
          <w:color w:val="auto"/>
        </w:rPr>
      </w:pPr>
    </w:p>
    <w:p>
      <w:pPr>
        <w:ind w:left="40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b w:val="1"/>
          <w:bCs w:val="1"/>
          <w:color w:val="auto"/>
        </w:rPr>
        <w:t>CORPORATE DOCUMENTS</w:t>
      </w:r>
    </w:p>
    <w:p>
      <w:pPr>
        <w:spacing w:after="0" w:line="224" w:lineRule="exact"/>
        <w:rPr>
          <w:rFonts w:ascii="Times New Roman" w:cs="Times New Roman" w:eastAsia="Times New Roman" w:hAnsi="Times New Roman"/>
          <w:sz w:val="21"/>
          <w:szCs w:val="21"/>
          <w:color w:val="auto"/>
        </w:rPr>
      </w:pPr>
    </w:p>
    <w:p>
      <w:pPr>
        <w:ind w:left="640" w:hanging="633"/>
        <w:spacing w:after="0" w:line="259" w:lineRule="auto"/>
        <w:tabs>
          <w:tab w:leader="none" w:pos="399"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Certificate of the Secretary or an Assistant Secretary of each Loan Party certifying (i) that there have been no changes in the charter document of such Loan Party, as attached thereto and as certified as of a recent date by the Secretary of State (or analogous governmental entity) of the jurisdiction of its organization, since the date of the certification thereof by such governmental entity, (ii) the Bylaws, Operating Agreement or other organizational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(iv) the Good Standing Certificate (or analogous documentation if applicable) for such Loan Party from the Secretary of State (or analogous governmental entity) of the jurisdiction of its organization, to the extent generally available in such jurisdiction and (v) the names and true signatures of the incumbent officers of each Loan Party authorized to sign the Loan Documents to which it is a party, and (in the case of the Borrower) authorized to request an Advance or the issuance of a Facility LC under the Credit Agreement.</w:t>
      </w:r>
    </w:p>
    <w:p>
      <w:pPr>
        <w:spacing w:after="0" w:line="171" w:lineRule="exact"/>
        <w:rPr>
          <w:rFonts w:ascii="Times New Roman" w:cs="Times New Roman" w:eastAsia="Times New Roman" w:hAnsi="Times New Roman"/>
          <w:sz w:val="21"/>
          <w:szCs w:val="21"/>
          <w:color w:val="auto"/>
        </w:rPr>
      </w:pPr>
    </w:p>
    <w:p>
      <w:pPr>
        <w:ind w:left="48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b w:val="1"/>
          <w:bCs w:val="1"/>
          <w:color w:val="auto"/>
        </w:rPr>
        <w:t>OPINIONS</w:t>
      </w:r>
    </w:p>
    <w:p>
      <w:pPr>
        <w:spacing w:after="0" w:line="224" w:lineRule="exact"/>
        <w:rPr>
          <w:rFonts w:ascii="Times New Roman" w:cs="Times New Roman" w:eastAsia="Times New Roman" w:hAnsi="Times New Roman"/>
          <w:sz w:val="21"/>
          <w:szCs w:val="21"/>
          <w:color w:val="auto"/>
        </w:rPr>
      </w:pPr>
    </w:p>
    <w:p>
      <w:pPr>
        <w:ind w:left="380" w:hanging="373"/>
        <w:spacing w:after="0"/>
        <w:tabs>
          <w:tab w:leader="none" w:pos="38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Opinion of Stinson LLP, counsel for the Loan Parties.</w:t>
      </w:r>
    </w:p>
    <w:p>
      <w:pPr>
        <w:spacing w:after="0" w:line="228" w:lineRule="exact"/>
        <w:rPr>
          <w:rFonts w:ascii="Times New Roman" w:cs="Times New Roman" w:eastAsia="Times New Roman" w:hAnsi="Times New Roman"/>
          <w:sz w:val="21"/>
          <w:szCs w:val="21"/>
          <w:color w:val="auto"/>
        </w:rPr>
      </w:pPr>
    </w:p>
    <w:p>
      <w:pPr>
        <w:ind w:left="28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  </w:t>
      </w:r>
      <w:r>
        <w:rPr>
          <w:rFonts w:ascii="Times New Roman" w:cs="Times New Roman" w:eastAsia="Times New Roman" w:hAnsi="Times New Roman"/>
          <w:sz w:val="21"/>
          <w:szCs w:val="21"/>
          <w:b w:val="1"/>
          <w:bCs w:val="1"/>
          <w:color w:val="auto"/>
        </w:rPr>
        <w:t>CLOSING CERTIFICATES AND MISCELLANEOUS</w:t>
      </w:r>
    </w:p>
    <w:p>
      <w:pPr>
        <w:spacing w:after="0" w:line="237" w:lineRule="exact"/>
        <w:rPr>
          <w:rFonts w:ascii="Times New Roman" w:cs="Times New Roman" w:eastAsia="Times New Roman" w:hAnsi="Times New Roman"/>
          <w:sz w:val="21"/>
          <w:szCs w:val="21"/>
          <w:color w:val="auto"/>
        </w:rPr>
      </w:pPr>
    </w:p>
    <w:p>
      <w:pPr>
        <w:ind w:left="640" w:hanging="633"/>
        <w:spacing w:after="0" w:line="259" w:lineRule="auto"/>
        <w:tabs>
          <w:tab w:leader="none" w:pos="372"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 Certificate signed by an Authorized Officer of the Borrower certifying the following: on the Effective Date (1) no Default or Event of Default has occurred and is continuing and (2) the representations and warranties contained in Article V of the Credit Agreement are (x) with respect to any representations or warranties that contain a materiality qualifier, true and correct in all respects, except to the extent any such representation or warranty is stated to relate solely to an earlier date, in which case such representation or warranty shall have been true and correct in all respects on and as of such earlier date and (y) with respect to any representations or warranties that do not contain a materiality qualifier, true and correct in all material respects, except to the extent any such representation or warranty is stated to relate solely to an earlier date, in which case such representation or warranty shall have been true and correct in all material respects on and as of such earlier date.</w:t>
      </w:r>
    </w:p>
    <w:p>
      <w:pPr>
        <w:spacing w:after="0" w:line="168" w:lineRule="exact"/>
        <w:rPr>
          <w:rFonts w:ascii="Times New Roman" w:cs="Times New Roman" w:eastAsia="Times New Roman" w:hAnsi="Times New Roman"/>
          <w:sz w:val="21"/>
          <w:szCs w:val="21"/>
          <w:color w:val="auto"/>
        </w:rPr>
      </w:pPr>
    </w:p>
    <w:p>
      <w:pPr>
        <w:ind w:left="380" w:hanging="373"/>
        <w:spacing w:after="0"/>
        <w:tabs>
          <w:tab w:leader="none" w:pos="38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Notice of Authorized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G-2</w:t>
      </w:r>
    </w:p>
    <w:p>
      <w:pPr>
        <w:sectPr>
          <w:pgSz w:w="11900" w:h="16838" w:orient="portrait"/>
          <w:cols w:equalWidth="0" w:num="1">
            <w:col w:w="11240"/>
          </w:cols>
          <w:pgMar w:left="320" w:top="1409" w:right="339" w:bottom="1440" w:gutter="0" w:footer="0" w:header="0"/>
        </w:sectPr>
      </w:pPr>
    </w:p>
    <w:bookmarkStart w:id="154" w:name="page155"/>
    <w:bookmarkEnd w:id="154"/>
    <w:p>
      <w:pPr>
        <w:ind w:left="373" w:hanging="373"/>
        <w:spacing w:after="0"/>
        <w:tabs>
          <w:tab w:leader="none" w:pos="373"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Payoff Letter for Prior Credit Agreement (and related agreements, documents and instruments).</w:t>
      </w:r>
    </w:p>
    <w:p>
      <w:pPr>
        <w:spacing w:after="0" w:line="220" w:lineRule="exact"/>
        <w:rPr>
          <w:rFonts w:ascii="Times New Roman" w:cs="Times New Roman" w:eastAsia="Times New Roman" w:hAnsi="Times New Roman"/>
          <w:sz w:val="21"/>
          <w:szCs w:val="21"/>
          <w:color w:val="auto"/>
        </w:rPr>
      </w:pPr>
    </w:p>
    <w:p>
      <w:pPr>
        <w:ind w:left="373" w:hanging="373"/>
        <w:spacing w:after="0"/>
        <w:tabs>
          <w:tab w:leader="none" w:pos="373"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Beneficial Ownership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73"/>
        <w:spacing w:after="0"/>
        <w:rPr>
          <w:sz w:val="20"/>
          <w:szCs w:val="20"/>
          <w:color w:val="auto"/>
        </w:rPr>
      </w:pPr>
      <w:r>
        <w:rPr>
          <w:rFonts w:ascii="Times New Roman" w:cs="Times New Roman" w:eastAsia="Times New Roman" w:hAnsi="Times New Roman"/>
          <w:sz w:val="21"/>
          <w:szCs w:val="21"/>
          <w:color w:val="auto"/>
        </w:rPr>
        <w:t>EXH. G-3</w:t>
      </w:r>
    </w:p>
    <w:p>
      <w:pPr>
        <w:sectPr>
          <w:pgSz w:w="11900" w:h="16838" w:orient="portrait"/>
          <w:cols w:equalWidth="0" w:num="1">
            <w:col w:w="10132"/>
          </w:cols>
          <w:pgMar w:left="327" w:top="1409" w:right="1440"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1"/>
          <w:szCs w:val="21"/>
          <w:b w:val="1"/>
          <w:bCs w:val="1"/>
          <w:color w:val="auto"/>
        </w:rPr>
        <w:t>EXHIBIT H</w:t>
      </w:r>
    </w:p>
    <w:p>
      <w:pPr>
        <w:spacing w:after="0" w:line="2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b w:val="1"/>
          <w:bCs w:val="1"/>
          <w:color w:val="auto"/>
        </w:rPr>
        <w:t>Obligations Notice</w:t>
      </w:r>
    </w:p>
    <w:p>
      <w:pPr>
        <w:spacing w:after="0" w:line="23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TO:</w:t>
        <w:tab/>
        <w:t>U.S. Bank National Association, as Administrative Agent</w:t>
      </w:r>
    </w:p>
    <w:p>
      <w:pPr>
        <w:spacing w:after="0" w:line="240" w:lineRule="exact"/>
        <w:rPr>
          <w:sz w:val="20"/>
          <w:szCs w:val="20"/>
          <w:color w:val="auto"/>
        </w:rPr>
      </w:pPr>
    </w:p>
    <w:p>
      <w:pPr>
        <w:jc w:val="both"/>
        <w:ind w:left="720" w:hanging="1283"/>
        <w:spacing w:after="0" w:line="264" w:lineRule="auto"/>
        <w:tabs>
          <w:tab w:leader="none" w:pos="700" w:val="left"/>
        </w:tabs>
        <w:rPr>
          <w:sz w:val="20"/>
          <w:szCs w:val="20"/>
          <w:color w:val="auto"/>
        </w:rPr>
      </w:pPr>
      <w:r>
        <w:rPr>
          <w:rFonts w:ascii="Times New Roman" w:cs="Times New Roman" w:eastAsia="Times New Roman" w:hAnsi="Times New Roman"/>
          <w:sz w:val="21"/>
          <w:szCs w:val="21"/>
          <w:color w:val="auto"/>
        </w:rPr>
        <w:t>RE:</w:t>
      </w:r>
      <w:r>
        <w:rPr>
          <w:sz w:val="20"/>
          <w:szCs w:val="20"/>
          <w:color w:val="auto"/>
        </w:rPr>
        <w:tab/>
      </w:r>
      <w:r>
        <w:rPr>
          <w:rFonts w:ascii="Times New Roman" w:cs="Times New Roman" w:eastAsia="Times New Roman" w:hAnsi="Times New Roman"/>
          <w:sz w:val="21"/>
          <w:szCs w:val="21"/>
          <w:color w:val="auto"/>
        </w:rPr>
        <w:t>Credit Agreement dated as of March 25, 2026 (as amended, modified, renewed or extended from time to time,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among Jack Henry &amp; Associates, Inc.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party thereto and U.S. Bank National Association,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capitalized terms used herein and not otherwise defined shall have the meanings set forth in the Credit Agreement)</w:t>
      </w:r>
    </w:p>
    <w:p>
      <w:pPr>
        <w:spacing w:after="0" w:line="1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1"/>
          <w:szCs w:val="21"/>
          <w:color w:val="auto"/>
        </w:rPr>
        <w:t>DATE:</w:t>
        <w:tab/>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280035</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2"/>
        <w:spacing w:after="0" w:line="289" w:lineRule="auto"/>
        <w:rPr>
          <w:sz w:val="20"/>
          <w:szCs w:val="20"/>
          <w:color w:val="auto"/>
        </w:rPr>
      </w:pPr>
      <w:r>
        <w:rPr>
          <w:rFonts w:ascii="Times New Roman" w:cs="Times New Roman" w:eastAsia="Times New Roman" w:hAnsi="Times New Roman"/>
          <w:sz w:val="21"/>
          <w:szCs w:val="21"/>
          <w:color w:val="auto"/>
        </w:rPr>
        <w:t>[Name of Lender] (the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hereby notifies you, pursuant to the terms of the Credit Agreement, that the Lender has provided [Cash Management Services] [Lender-Provided Swaps] under the terms of the Credit Agreement.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 duly authorized officer of the undersigned has executed this notice as of the day and year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475615</wp:posOffset>
            </wp:positionV>
            <wp:extent cx="135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-7620</wp:posOffset>
            </wp:positionV>
            <wp:extent cx="135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-22860</wp:posOffset>
            </wp:positionV>
            <wp:extent cx="135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-22860</wp:posOffset>
            </wp:positionV>
            <wp:extent cx="135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H-1</w:t>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1)"/>
      <w:numFmt w:val="lowerRoman"/>
      <w:start w:val="10"/>
    </w:lvl>
  </w:abstractNum>
  <w:abstractNum w:abstractNumId="3">
    <w:nsid w:val="15014ACB"/>
    <w:multiLevelType w:val="hybridMultilevel"/>
    <w:lvl w:ilvl="0">
      <w:lvlJc w:val="left"/>
      <w:lvlText w:val="(%1)"/>
      <w:numFmt w:val="decimal"/>
      <w:start w:val="1"/>
    </w:lvl>
  </w:abstractNum>
  <w:abstractNum w:abstractNumId="4">
    <w:nsid w:val="5F5E7FD0"/>
    <w:multiLevelType w:val="hybridMultilevel"/>
    <w:lvl w:ilvl="0">
      <w:lvlJc w:val="left"/>
      <w:lvlText w:val="(%1)"/>
      <w:numFmt w:val="decimal"/>
      <w:start w:val="1"/>
    </w:lvl>
  </w:abstractNum>
  <w:abstractNum w:abstractNumId="5">
    <w:nsid w:val="98A3148"/>
    <w:multiLevelType w:val="hybridMultilevel"/>
    <w:lvl w:ilvl="0">
      <w:lvlJc w:val="left"/>
      <w:lvlText w:val="(%1)"/>
      <w:numFmt w:val="decimal"/>
      <w:start w:val="1"/>
    </w:lvl>
  </w:abstractNum>
  <w:abstractNum w:abstractNumId="6">
    <w:nsid w:val="799D0247"/>
    <w:multiLevelType w:val="hybridMultilevel"/>
    <w:lvl w:ilvl="0">
      <w:lvlJc w:val="left"/>
      <w:lvlText w:val="(%1)"/>
      <w:numFmt w:val="decimal"/>
      <w:start w:val="2"/>
    </w:lvl>
  </w:abstractNum>
  <w:abstractNum w:abstractNumId="7">
    <w:nsid w:val="6B94764"/>
    <w:multiLevelType w:val="hybridMultilevel"/>
    <w:lvl w:ilvl="0">
      <w:lvlJc w:val="left"/>
      <w:lvlText w:val="(%1)"/>
      <w:numFmt w:val="lowerRoman"/>
      <w:start w:val="2"/>
    </w:lvl>
  </w:abstractNum>
  <w:abstractNum w:abstractNumId="8">
    <w:nsid w:val="42C296BD"/>
    <w:multiLevelType w:val="hybridMultilevel"/>
    <w:lvl w:ilvl="0">
      <w:lvlJc w:val="left"/>
      <w:lvlText w:val="(%1)"/>
      <w:numFmt w:val="lowerRoman"/>
      <w:start w:val="3"/>
    </w:lvl>
  </w:abstractNum>
  <w:abstractNum w:abstractNumId="9">
    <w:nsid w:val="168E121F"/>
    <w:multiLevelType w:val="hybridMultilevel"/>
    <w:lvl w:ilvl="0">
      <w:lvlJc w:val="left"/>
      <w:lvlText w:val="(%1)"/>
      <w:numFmt w:val="decimal"/>
      <w:start w:val="3"/>
    </w:lvl>
  </w:abstractNum>
  <w:abstractNum w:abstractNumId="10">
    <w:nsid w:val="1EBA5D23"/>
    <w:multiLevelType w:val="hybridMultilevel"/>
    <w:lvl w:ilvl="0">
      <w:lvlJc w:val="left"/>
      <w:lvlText w:val="(%1)"/>
      <w:numFmt w:val="lowerLetter"/>
      <w:start w:val="1"/>
    </w:lvl>
  </w:abstractNum>
  <w:abstractNum w:abstractNumId="11">
    <w:nsid w:val="661E3F1E"/>
    <w:multiLevelType w:val="hybridMultilevel"/>
    <w:lvl w:ilvl="0">
      <w:lvlJc w:val="left"/>
      <w:lvlText w:val="(%1)"/>
      <w:numFmt w:val="lowerLetter"/>
      <w:start w:val="1"/>
    </w:lvl>
  </w:abstractNum>
  <w:abstractNum w:abstractNumId="12">
    <w:nsid w:val="5DC79EA8"/>
    <w:multiLevelType w:val="hybridMultilevel"/>
    <w:lvl w:ilvl="0">
      <w:lvlJc w:val="left"/>
      <w:lvlText w:val="(%1)"/>
      <w:numFmt w:val="lowerLetter"/>
      <w:start w:val="4"/>
    </w:lvl>
  </w:abstractNum>
  <w:abstractNum w:abstractNumId="13">
    <w:nsid w:val="540A471C"/>
    <w:multiLevelType w:val="hybridMultilevel"/>
    <w:lvl w:ilvl="0">
      <w:lvlJc w:val="left"/>
      <w:lvlText w:val="(%1)"/>
      <w:numFmt w:val="lowerLetter"/>
      <w:start w:val="1"/>
    </w:lvl>
  </w:abstractNum>
  <w:abstractNum w:abstractNumId="14">
    <w:nsid w:val="7BD3EE7B"/>
    <w:multiLevelType w:val="hybridMultilevel"/>
    <w:lvl w:ilvl="0">
      <w:lvlJc w:val="left"/>
      <w:lvlText w:val="(%1)"/>
      <w:numFmt w:val="lowerRoman"/>
      <w:start w:val="1"/>
    </w:lvl>
  </w:abstractNum>
  <w:abstractNum w:abstractNumId="15">
    <w:nsid w:val="51D9C564"/>
    <w:multiLevelType w:val="hybridMultilevel"/>
    <w:lvl w:ilvl="0">
      <w:lvlJc w:val="left"/>
      <w:lvlText w:val="(%1)"/>
      <w:numFmt w:val="lowerRoman"/>
      <w:start w:val="3"/>
    </w:lvl>
  </w:abstractNum>
  <w:abstractNum w:abstractNumId="16">
    <w:nsid w:val="613EFDC5"/>
    <w:multiLevelType w:val="hybridMultilevel"/>
    <w:lvl w:ilvl="0">
      <w:lvlJc w:val="left"/>
      <w:lvlText w:val="(%1)"/>
      <w:numFmt w:val="lowerRoman"/>
      <w:start w:val="1"/>
    </w:lvl>
  </w:abstractNum>
  <w:abstractNum w:abstractNumId="17">
    <w:nsid w:val="BF72B14"/>
    <w:multiLevelType w:val="hybridMultilevel"/>
    <w:lvl w:ilvl="0">
      <w:lvlJc w:val="left"/>
      <w:lvlText w:val="(%1)"/>
      <w:numFmt w:val="lowerLetter"/>
      <w:start w:val="2"/>
    </w:lvl>
  </w:abstractNum>
  <w:abstractNum w:abstractNumId="18">
    <w:nsid w:val="11447B73"/>
    <w:multiLevelType w:val="hybridMultilevel"/>
    <w:lvl w:ilvl="0">
      <w:lvlJc w:val="left"/>
      <w:lvlText w:val="%1"/>
      <w:numFmt w:val="lowerLetter"/>
      <w:start w:val="1"/>
    </w:lvl>
    <w:lvl w:ilvl="1">
      <w:lvlJc w:val="left"/>
      <w:lvlText w:val="(%2)"/>
      <w:numFmt w:val="lowerLetter"/>
      <w:start w:val="1"/>
    </w:lvl>
  </w:abstractNum>
  <w:abstractNum w:abstractNumId="19">
    <w:nsid w:val="42963E5A"/>
    <w:multiLevelType w:val="hybridMultilevel"/>
    <w:lvl w:ilvl="0">
      <w:lvlJc w:val="left"/>
      <w:lvlText w:val="(%1)"/>
      <w:numFmt w:val="lowerLetter"/>
      <w:start w:val="35"/>
    </w:lvl>
    <w:lvl w:ilvl="1">
      <w:lvlJc w:val="left"/>
      <w:lvlText w:val="%2"/>
      <w:numFmt w:val="lowerLetter"/>
      <w:start w:val="1"/>
    </w:lvl>
  </w:abstractNum>
  <w:abstractNum w:abstractNumId="20">
    <w:nsid w:val="A0382C5"/>
    <w:multiLevelType w:val="hybridMultilevel"/>
    <w:lvl w:ilvl="0">
      <w:lvlJc w:val="left"/>
      <w:lvlText w:val="(%1)"/>
      <w:numFmt w:val="lowerLetter"/>
      <w:start w:val="2"/>
    </w:lvl>
  </w:abstractNum>
  <w:abstractNum w:abstractNumId="21">
    <w:nsid w:val="8F2B15E"/>
    <w:multiLevelType w:val="hybridMultilevel"/>
    <w:lvl w:ilvl="0">
      <w:lvlJc w:val="left"/>
      <w:lvlText w:val="(%1)"/>
      <w:numFmt w:val="lowerLetter"/>
      <w:start w:val="6"/>
    </w:lvl>
  </w:abstractNum>
  <w:abstractNum w:abstractNumId="22">
    <w:nsid w:val="1A32234B"/>
    <w:multiLevelType w:val="hybridMultilevel"/>
    <w:lvl w:ilvl="0">
      <w:lvlJc w:val="left"/>
      <w:lvlText w:val="(%1)"/>
      <w:numFmt w:val="lowerLetter"/>
      <w:start w:val="8"/>
    </w:lvl>
  </w:abstractNum>
  <w:abstractNum w:abstractNumId="23">
    <w:nsid w:val="3B0FD379"/>
    <w:multiLevelType w:val="hybridMultilevel"/>
    <w:lvl w:ilvl="0">
      <w:lvlJc w:val="left"/>
      <w:lvlText w:val="(%1)"/>
      <w:numFmt w:val="lowerLetter"/>
      <w:start w:val="24"/>
    </w:lvl>
    <w:lvl w:ilvl="1">
      <w:lvlJc w:val="left"/>
      <w:lvlText w:val="(%2)"/>
      <w:numFmt w:val="lowerLetter"/>
      <w:start w:val="10"/>
    </w:lvl>
  </w:abstractNum>
  <w:abstractNum w:abstractNumId="24">
    <w:nsid w:val="68EB2F63"/>
    <w:multiLevelType w:val="hybridMultilevel"/>
    <w:lvl w:ilvl="0">
      <w:lvlJc w:val="left"/>
      <w:lvlText w:val="(%1)"/>
      <w:numFmt w:val="lowerLetter"/>
      <w:start w:val="12"/>
    </w:lvl>
  </w:abstractNum>
  <w:abstractNum w:abstractNumId="25">
    <w:nsid w:val="4962813B"/>
    <w:multiLevelType w:val="hybridMultilevel"/>
    <w:lvl w:ilvl="0">
      <w:lvlJc w:val="left"/>
      <w:lvlText w:val="%1"/>
      <w:numFmt w:val="lowerLetter"/>
      <w:start w:val="1"/>
    </w:lvl>
    <w:lvl w:ilvl="1">
      <w:lvlJc w:val="left"/>
      <w:lvlText w:val="(%2)"/>
      <w:numFmt w:val="lowerLetter"/>
      <w:start w:val="13"/>
    </w:lvl>
  </w:abstractNum>
  <w:abstractNum w:abstractNumId="26">
    <w:nsid w:val="60B6DF70"/>
    <w:multiLevelType w:val="hybridMultilevel"/>
    <w:lvl w:ilvl="0">
      <w:lvlJc w:val="left"/>
      <w:lvlText w:val="(%1)"/>
      <w:numFmt w:val="lowerLetter"/>
      <w:start w:val="9"/>
    </w:lvl>
    <w:lvl w:ilvl="1">
      <w:lvlJc w:val="left"/>
      <w:lvlText w:val="%2"/>
      <w:numFmt w:val="lowerLetter"/>
      <w:start w:val="1"/>
    </w:lvl>
  </w:abstractNum>
  <w:abstractNum w:abstractNumId="27">
    <w:nsid w:val="6A5EE64"/>
    <w:multiLevelType w:val="hybridMultilevel"/>
    <w:lvl w:ilvl="0">
      <w:lvlJc w:val="left"/>
      <w:lvlText w:val="(%1)"/>
      <w:numFmt w:val="lowerLetter"/>
      <w:start w:val="1"/>
    </w:lvl>
    <w:lvl w:ilvl="1">
      <w:lvlJc w:val="left"/>
      <w:lvlText w:val="(%2)"/>
      <w:numFmt w:val="lowerLetter"/>
      <w:start w:val="9"/>
    </w:lvl>
  </w:abstractNum>
  <w:abstractNum w:abstractNumId="28">
    <w:nsid w:val="14330624"/>
    <w:multiLevelType w:val="hybridMultilevel"/>
    <w:lvl w:ilvl="0">
      <w:lvlJc w:val="left"/>
      <w:lvlText w:val="(%1)"/>
      <w:numFmt w:val="lowerRoman"/>
      <w:start w:val="2"/>
    </w:lvl>
  </w:abstractNum>
  <w:abstractNum w:abstractNumId="29">
    <w:nsid w:val="7FFFCA11"/>
    <w:multiLevelType w:val="hybridMultilevel"/>
    <w:lvl w:ilvl="0">
      <w:lvlJc w:val="left"/>
      <w:lvlText w:val="(%1)"/>
      <w:numFmt w:val="lowerRoman"/>
      <w:start w:val="3"/>
    </w:lvl>
    <w:lvl w:ilvl="1">
      <w:lvlJc w:val="left"/>
      <w:lvlText w:val="(%2)"/>
      <w:numFmt w:val="upperLetter"/>
      <w:start w:val="2"/>
    </w:lvl>
  </w:abstractNum>
  <w:abstractNum w:abstractNumId="30">
    <w:nsid w:val="1A27709E"/>
    <w:multiLevelType w:val="hybridMultilevel"/>
    <w:lvl w:ilvl="0">
      <w:lvlJc w:val="left"/>
      <w:lvlText w:val="(%1)"/>
      <w:numFmt w:val="lowerLetter"/>
      <w:start w:val="2"/>
    </w:lvl>
    <w:lvl w:ilvl="1">
      <w:lvlJc w:val="left"/>
      <w:lvlText w:val="(%2)"/>
      <w:numFmt w:val="lowerRoman"/>
      <w:start w:val="1"/>
    </w:lvl>
  </w:abstractNum>
  <w:abstractNum w:abstractNumId="31">
    <w:nsid w:val="71EA1109"/>
    <w:multiLevelType w:val="hybridMultilevel"/>
    <w:lvl w:ilvl="0">
      <w:lvlJc w:val="left"/>
      <w:lvlText w:val="(%1)"/>
      <w:numFmt w:val="lowerRoman"/>
      <w:start w:val="3"/>
    </w:lvl>
  </w:abstractNum>
  <w:abstractNum w:abstractNumId="32">
    <w:nsid w:val="100F59DC"/>
    <w:multiLevelType w:val="hybridMultilevel"/>
    <w:lvl w:ilvl="0">
      <w:lvlJc w:val="left"/>
      <w:lvlText w:val="(%1)"/>
      <w:numFmt w:val="lowerLetter"/>
      <w:start w:val="1"/>
    </w:lvl>
  </w:abstractNum>
  <w:abstractNum w:abstractNumId="33">
    <w:nsid w:val="7FB7E0AA"/>
    <w:multiLevelType w:val="hybridMultilevel"/>
    <w:lvl w:ilvl="0">
      <w:lvlJc w:val="left"/>
      <w:lvlText w:val="(%1)"/>
      <w:numFmt w:val="lowerLetter"/>
      <w:start w:val="2"/>
    </w:lvl>
    <w:lvl w:ilvl="1">
      <w:lvlJc w:val="left"/>
      <w:lvlText w:val="(%2)"/>
      <w:numFmt w:val="lowerRoman"/>
      <w:start w:val="1"/>
    </w:lvl>
  </w:abstractNum>
  <w:abstractNum w:abstractNumId="34">
    <w:nsid w:val="6EB5BD4"/>
    <w:multiLevelType w:val="hybridMultilevel"/>
    <w:lvl w:ilvl="0">
      <w:lvlJc w:val="left"/>
      <w:lvlText w:val="(%1)"/>
      <w:numFmt w:val="lowerLetter"/>
      <w:start w:val="5"/>
    </w:lvl>
  </w:abstractNum>
  <w:abstractNum w:abstractNumId="35">
    <w:nsid w:val="6F6DD9AC"/>
    <w:multiLevelType w:val="hybridMultilevel"/>
    <w:lvl w:ilvl="0">
      <w:lvlJc w:val="left"/>
      <w:lvlText w:val="(%1)"/>
      <w:numFmt w:val="lowerRoman"/>
      <w:start w:val="10"/>
    </w:lvl>
  </w:abstractNum>
  <w:abstractNum w:abstractNumId="36">
    <w:nsid w:val="94211F2"/>
    <w:multiLevelType w:val="hybridMultilevel"/>
    <w:lvl w:ilvl="0">
      <w:lvlJc w:val="left"/>
      <w:lvlText w:val="(%1)"/>
      <w:numFmt w:val="lowerLetter"/>
      <w:start w:val="1"/>
    </w:lvl>
    <w:lvl w:ilvl="1">
      <w:lvlJc w:val="left"/>
      <w:lvlText w:val="(%2)"/>
      <w:numFmt w:val="lowerRoman"/>
      <w:start w:val="1"/>
    </w:lvl>
  </w:abstractNum>
  <w:abstractNum w:abstractNumId="37">
    <w:nsid w:val="885E1B"/>
    <w:multiLevelType w:val="hybridMultilevel"/>
    <w:lvl w:ilvl="0">
      <w:lvlJc w:val="left"/>
      <w:lvlText w:val="(%1)"/>
      <w:numFmt w:val="lowerLetter"/>
      <w:start w:val="2"/>
    </w:lvl>
  </w:abstractNum>
  <w:abstractNum w:abstractNumId="38">
    <w:nsid w:val="76272110"/>
    <w:multiLevelType w:val="hybridMultilevel"/>
    <w:lvl w:ilvl="0">
      <w:lvlJc w:val="left"/>
      <w:lvlText w:val="(%1)"/>
      <w:numFmt w:val="lowerLetter"/>
      <w:start w:val="1"/>
    </w:lvl>
  </w:abstractNum>
  <w:abstractNum w:abstractNumId="39">
    <w:nsid w:val="4C04A8AF"/>
    <w:multiLevelType w:val="hybridMultilevel"/>
    <w:lvl w:ilvl="0">
      <w:lvlJc w:val="left"/>
      <w:lvlText w:val="(%1)"/>
      <w:numFmt w:val="lowerRoman"/>
      <w:start w:val="1"/>
    </w:lvl>
  </w:abstractNum>
  <w:abstractNum w:abstractNumId="40">
    <w:nsid w:val="1716703B"/>
    <w:multiLevelType w:val="hybridMultilevel"/>
    <w:lvl w:ilvl="0">
      <w:lvlJc w:val="left"/>
      <w:lvlText w:val="(%1)"/>
      <w:numFmt w:val="lowerLetter"/>
      <w:start w:val="2"/>
    </w:lvl>
    <w:lvl w:ilvl="1">
      <w:lvlJc w:val="left"/>
      <w:lvlText w:val="(%2)"/>
      <w:numFmt w:val="lowerLetter"/>
      <w:start w:val="9"/>
    </w:lvl>
  </w:abstractNum>
  <w:abstractNum w:abstractNumId="41">
    <w:nsid w:val="14E17E33"/>
    <w:multiLevelType w:val="hybridMultilevel"/>
    <w:lvl w:ilvl="0">
      <w:lvlJc w:val="left"/>
      <w:lvlText w:val="(%1)"/>
      <w:numFmt w:val="lowerRoman"/>
      <w:start w:val="2"/>
    </w:lvl>
  </w:abstractNum>
  <w:abstractNum w:abstractNumId="42">
    <w:nsid w:val="3222E7CD"/>
    <w:multiLevelType w:val="hybridMultilevel"/>
    <w:lvl w:ilvl="0">
      <w:lvlJc w:val="left"/>
      <w:lvlText w:val="(%1)"/>
      <w:numFmt w:val="lowerLetter"/>
      <w:start w:val="1"/>
    </w:lvl>
  </w:abstractNum>
  <w:abstractNum w:abstractNumId="43">
    <w:nsid w:val="74DE0EE3"/>
    <w:multiLevelType w:val="hybridMultilevel"/>
    <w:lvl w:ilvl="0">
      <w:lvlJc w:val="left"/>
      <w:lvlText w:val="%1"/>
      <w:numFmt w:val="lowerLetter"/>
      <w:start w:val="1"/>
    </w:lvl>
    <w:lvl w:ilvl="1">
      <w:lvlJc w:val="left"/>
      <w:lvlText w:val="(%2)"/>
      <w:numFmt w:val="lowerLetter"/>
      <w:start w:val="2"/>
    </w:lvl>
  </w:abstractNum>
  <w:abstractNum w:abstractNumId="44">
    <w:nsid w:val="68EBC550"/>
    <w:multiLevelType w:val="hybridMultilevel"/>
    <w:lvl w:ilvl="0">
      <w:lvlJc w:val="left"/>
      <w:lvlText w:val="(%1)"/>
      <w:numFmt w:val="lowerLetter"/>
      <w:start w:val="35"/>
    </w:lvl>
    <w:lvl w:ilvl="1">
      <w:lvlJc w:val="left"/>
      <w:lvlText w:val="(%2)"/>
      <w:numFmt w:val="lowerLetter"/>
      <w:start w:val="5"/>
    </w:lvl>
  </w:abstractNum>
  <w:abstractNum w:abstractNumId="45">
    <w:nsid w:val="2DF6D648"/>
    <w:multiLevelType w:val="hybridMultilevel"/>
    <w:lvl w:ilvl="0">
      <w:lvlJc w:val="left"/>
      <w:lvlText w:val="(%1)"/>
      <w:numFmt w:val="upperLetter"/>
      <w:start w:val="4"/>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46">
    <w:nsid w:val="46B7D447"/>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47">
    <w:nsid w:val="4A2AC315"/>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48">
    <w:nsid w:val="39EE015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49">
    <w:nsid w:val="57FC4FBB"/>
    <w:multiLevelType w:val="hybridMultilevel"/>
    <w:lvl w:ilvl="0">
      <w:lvlJc w:val="left"/>
      <w:lvlText w:val="%1"/>
      <w:numFmt w:val="lowerLetter"/>
      <w:start w:val="1"/>
    </w:lvl>
    <w:lvl w:ilvl="1">
      <w:lvlJc w:val="left"/>
      <w:lvlText w:val="(%2)"/>
      <w:numFmt w:val="lowerLetter"/>
      <w:start w:val="61"/>
    </w:lvl>
  </w:abstractNum>
  <w:abstractNum w:abstractNumId="50">
    <w:nsid w:val="CC1016F"/>
    <w:multiLevelType w:val="hybridMultilevel"/>
    <w:lvl w:ilvl="0">
      <w:lvlJc w:val="left"/>
      <w:lvlText w:val="(%1)"/>
      <w:numFmt w:val="lowerLetter"/>
      <w:start w:val="7"/>
    </w:lvl>
    <w:lvl w:ilvl="1">
      <w:lvlJc w:val="left"/>
      <w:lvlText w:val="%2"/>
      <w:numFmt w:val="lowerLetter"/>
      <w:start w:val="1"/>
    </w:lvl>
  </w:abstractNum>
  <w:abstractNum w:abstractNumId="51">
    <w:nsid w:val="43F18422"/>
    <w:multiLevelType w:val="hybridMultilevel"/>
    <w:lvl w:ilvl="0">
      <w:lvlJc w:val="left"/>
      <w:lvlText w:val="(%1)"/>
      <w:numFmt w:val="lowerLetter"/>
      <w:start w:val="8"/>
    </w:lvl>
  </w:abstractNum>
  <w:abstractNum w:abstractNumId="52">
    <w:nsid w:val="60EF0119"/>
    <w:multiLevelType w:val="hybridMultilevel"/>
    <w:lvl w:ilvl="0">
      <w:lvlJc w:val="left"/>
      <w:lvlText w:val="(%1)"/>
      <w:numFmt w:val="lowerLetter"/>
      <w:start w:val="1"/>
    </w:lvl>
  </w:abstractNum>
  <w:abstractNum w:abstractNumId="53">
    <w:nsid w:val="26F324BA"/>
    <w:multiLevelType w:val="hybridMultilevel"/>
    <w:lvl w:ilvl="0">
      <w:lvlJc w:val="left"/>
      <w:lvlText w:val="(%1)"/>
      <w:numFmt w:val="lowerLetter"/>
      <w:start w:val="2"/>
    </w:lvl>
  </w:abstractNum>
  <w:abstractNum w:abstractNumId="54">
    <w:nsid w:val="7F01579B"/>
    <w:multiLevelType w:val="hybridMultilevel"/>
    <w:lvl w:ilvl="0">
      <w:lvlJc w:val="left"/>
      <w:lvlText w:val="(%1)"/>
      <w:numFmt w:val="lowerLetter"/>
      <w:start w:val="3"/>
    </w:lvl>
  </w:abstractNum>
  <w:abstractNum w:abstractNumId="55">
    <w:nsid w:val="49DA307D"/>
    <w:multiLevelType w:val="hybridMultilevel"/>
    <w:lvl w:ilvl="0">
      <w:lvlJc w:val="left"/>
      <w:lvlText w:val="%1"/>
      <w:numFmt w:val="lowerLetter"/>
      <w:start w:val="1"/>
    </w:lvl>
    <w:lvl w:ilvl="1">
      <w:lvlJc w:val="left"/>
      <w:lvlText w:val="(%2)"/>
      <w:numFmt w:val="lowerLetter"/>
      <w:start w:val="10"/>
    </w:lvl>
  </w:abstractNum>
  <w:abstractNum w:abstractNumId="56">
    <w:nsid w:val="7055A5F5"/>
    <w:multiLevelType w:val="hybridMultilevel"/>
    <w:lvl w:ilvl="0">
      <w:lvlJc w:val="left"/>
      <w:lvlText w:val="(%1)"/>
      <w:numFmt w:val="lowerLetter"/>
      <w:start w:val="35"/>
    </w:lvl>
    <w:lvl w:ilvl="1">
      <w:lvlJc w:val="left"/>
      <w:lvlText w:val="(%2)"/>
      <w:numFmt w:val="lowerLetter"/>
      <w:start w:val="12"/>
    </w:lvl>
  </w:abstractNum>
  <w:abstractNum w:abstractNumId="57">
    <w:nsid w:val="5FB8370B"/>
    <w:multiLevelType w:val="hybridMultilevel"/>
    <w:lvl w:ilvl="0">
      <w:lvlJc w:val="left"/>
      <w:lvlText w:val="(%1)"/>
      <w:numFmt w:val="lowerLetter"/>
      <w:start w:val="1"/>
    </w:lvl>
  </w:abstractNum>
  <w:abstractNum w:abstractNumId="58">
    <w:nsid w:val="50801EE1"/>
    <w:multiLevelType w:val="hybridMultilevel"/>
    <w:lvl w:ilvl="0">
      <w:lvlJc w:val="left"/>
      <w:lvlText w:val="(%1)"/>
      <w:numFmt w:val="lowerLetter"/>
      <w:start w:val="2"/>
    </w:lvl>
  </w:abstractNum>
  <w:abstractNum w:abstractNumId="59">
    <w:nsid w:val="488AC1A"/>
    <w:multiLevelType w:val="hybridMultilevel"/>
    <w:lvl w:ilvl="0">
      <w:lvlJc w:val="left"/>
      <w:lvlText w:val="(%1)"/>
      <w:numFmt w:val="lowerRoman"/>
      <w:start w:val="1"/>
    </w:lvl>
  </w:abstractNum>
  <w:abstractNum w:abstractNumId="60">
    <w:nsid w:val="5FB8011C"/>
    <w:multiLevelType w:val="hybridMultilevel"/>
    <w:lvl w:ilvl="0">
      <w:lvlJc w:val="left"/>
      <w:lvlText w:val="(%1)"/>
      <w:numFmt w:val="lowerLetter"/>
      <w:start w:val="1"/>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lowerLetter"/>
      <w:start w:val="1"/>
    </w:lvl>
  </w:abstractNum>
  <w:abstractNum w:abstractNumId="63">
    <w:nsid w:val="6FC75AF8"/>
    <w:multiLevelType w:val="hybridMultilevel"/>
    <w:lvl w:ilvl="0">
      <w:lvlJc w:val="left"/>
      <w:lvlText w:val="(%1)"/>
      <w:numFmt w:val="lowerLetter"/>
      <w:start w:val="1"/>
    </w:lvl>
  </w:abstractNum>
  <w:abstractNum w:abstractNumId="64">
    <w:nsid w:val="6A5F7029"/>
    <w:multiLevelType w:val="hybridMultilevel"/>
    <w:lvl w:ilvl="0">
      <w:lvlJc w:val="left"/>
      <w:lvlText w:val="(%1)"/>
      <w:numFmt w:val="lowerLetter"/>
      <w:start w:val="5"/>
    </w:lvl>
  </w:abstractNum>
  <w:abstractNum w:abstractNumId="65">
    <w:nsid w:val="7D5E18F8"/>
    <w:multiLevelType w:val="hybridMultilevel"/>
    <w:lvl w:ilvl="0">
      <w:lvlJc w:val="left"/>
      <w:lvlText w:val="(%1)"/>
      <w:numFmt w:val="lowerRoman"/>
      <w:start w:val="1"/>
    </w:lvl>
  </w:abstractNum>
  <w:abstractNum w:abstractNumId="66">
    <w:nsid w:val="5F3534A4"/>
    <w:multiLevelType w:val="hybridMultilevel"/>
    <w:lvl w:ilvl="0">
      <w:lvlJc w:val="left"/>
      <w:lvlText w:val="(%1)"/>
      <w:numFmt w:val="lowerLetter"/>
      <w:start w:val="1"/>
    </w:lvl>
  </w:abstractNum>
  <w:abstractNum w:abstractNumId="67">
    <w:nsid w:val="73A1821B"/>
    <w:multiLevelType w:val="hybridMultilevel"/>
    <w:lvl w:ilvl="0">
      <w:lvlJc w:val="left"/>
      <w:lvlText w:val="%1"/>
      <w:numFmt w:val="lowerRoman"/>
      <w:start w:val="1"/>
    </w:lvl>
    <w:lvl w:ilvl="1">
      <w:lvlJc w:val="left"/>
      <w:lvlText w:val="(%2)"/>
      <w:numFmt w:val="lowerLetter"/>
      <w:start w:val="1"/>
    </w:lvl>
  </w:abstractNum>
  <w:abstractNum w:abstractNumId="68">
    <w:nsid w:val="7DE67713"/>
    <w:multiLevelType w:val="hybridMultilevel"/>
    <w:lvl w:ilvl="0">
      <w:lvlJc w:val="left"/>
      <w:lvlText w:val="(%1)"/>
      <w:numFmt w:val="lowerRoman"/>
      <w:start w:val="4"/>
    </w:lvl>
    <w:lvl w:ilvl="1">
      <w:lvlJc w:val="left"/>
      <w:lvlText w:val="(%2)"/>
      <w:numFmt w:val="lowerLetter"/>
      <w:start w:val="1"/>
    </w:lvl>
  </w:abstractNum>
  <w:abstractNum w:abstractNumId="69">
    <w:nsid w:val="555C55B5"/>
    <w:multiLevelType w:val="hybridMultilevel"/>
    <w:lvl w:ilvl="0">
      <w:lvlJc w:val="left"/>
      <w:lvlText w:val="(%1)"/>
      <w:numFmt w:val="lowerLetter"/>
      <w:start w:val="2"/>
    </w:lvl>
  </w:abstractNum>
  <w:abstractNum w:abstractNumId="70">
    <w:nsid w:val="3FA62ACA"/>
    <w:multiLevelType w:val="hybridMultilevel"/>
    <w:lvl w:ilvl="0">
      <w:lvlJc w:val="left"/>
      <w:lvlText w:val="(%1)"/>
      <w:numFmt w:val="lowerLetter"/>
      <w:start w:val="3"/>
    </w:lvl>
  </w:abstractNum>
  <w:abstractNum w:abstractNumId="71">
    <w:nsid w:val="14FCE74E"/>
    <w:multiLevelType w:val="hybridMultilevel"/>
    <w:lvl w:ilvl="0">
      <w:lvlJc w:val="left"/>
      <w:lvlText w:val="(%1)"/>
      <w:numFmt w:val="lowerLetter"/>
      <w:start w:val="1"/>
    </w:lvl>
  </w:abstractNum>
  <w:abstractNum w:abstractNumId="72">
    <w:nsid w:val="6A3DD3E8"/>
    <w:multiLevelType w:val="hybridMultilevel"/>
    <w:lvl w:ilvl="0">
      <w:lvlJc w:val="left"/>
      <w:lvlText w:val="(%1)"/>
      <w:numFmt w:val="lowerLetter"/>
      <w:start w:val="6"/>
    </w:lvl>
  </w:abstractNum>
  <w:abstractNum w:abstractNumId="73">
    <w:nsid w:val="71C91298"/>
    <w:multiLevelType w:val="hybridMultilevel"/>
    <w:lvl w:ilvl="0">
      <w:lvlJc w:val="left"/>
      <w:lvlText w:val="(%1)"/>
      <w:numFmt w:val="lowerLetter"/>
      <w:start w:val="18"/>
    </w:lvl>
  </w:abstractNum>
  <w:abstractNum w:abstractNumId="74">
    <w:nsid w:val="9DAF632"/>
    <w:multiLevelType w:val="hybridMultilevel"/>
    <w:lvl w:ilvl="0">
      <w:lvlJc w:val="left"/>
      <w:lvlText w:val="(%1)"/>
      <w:numFmt w:val="lowerRoman"/>
      <w:start w:val="7"/>
    </w:lvl>
    <w:lvl w:ilvl="1">
      <w:lvlJc w:val="left"/>
      <w:lvlText w:val="(%2)"/>
      <w:numFmt w:val="lowerLetter"/>
      <w:start w:val="1"/>
    </w:lvl>
  </w:abstractNum>
  <w:abstractNum w:abstractNumId="75">
    <w:nsid w:val="53299938"/>
    <w:multiLevelType w:val="hybridMultilevel"/>
    <w:lvl w:ilvl="0">
      <w:lvlJc w:val="left"/>
      <w:lvlText w:val="(%1)"/>
      <w:numFmt w:val="decimal"/>
      <w:start w:val="30"/>
    </w:lvl>
  </w:abstractNum>
  <w:abstractNum w:abstractNumId="76">
    <w:nsid w:val="1FBFE8E0"/>
    <w:multiLevelType w:val="hybridMultilevel"/>
    <w:lvl w:ilvl="0">
      <w:lvlJc w:val="left"/>
      <w:lvlText w:val="(%1)"/>
      <w:numFmt w:val="lowerLetter"/>
      <w:start w:val="2"/>
    </w:lvl>
  </w:abstractNum>
  <w:abstractNum w:abstractNumId="77">
    <w:nsid w:val="5092CA79"/>
    <w:multiLevelType w:val="hybridMultilevel"/>
    <w:lvl w:ilvl="0">
      <w:lvlJc w:val="left"/>
      <w:lvlText w:val="(%1)"/>
      <w:numFmt w:val="lowerLetter"/>
      <w:start w:val="4"/>
    </w:lvl>
  </w:abstractNum>
  <w:abstractNum w:abstractNumId="78">
    <w:nsid w:val="1D545C4D"/>
    <w:multiLevelType w:val="hybridMultilevel"/>
    <w:lvl w:ilvl="0">
      <w:lvlJc w:val="left"/>
      <w:lvlText w:val="(%1)"/>
      <w:numFmt w:val="lowerLetter"/>
      <w:start w:val="1"/>
    </w:lvl>
  </w:abstractNum>
  <w:abstractNum w:abstractNumId="79">
    <w:nsid w:val="59ADEA3D"/>
    <w:multiLevelType w:val="hybridMultilevel"/>
    <w:lvl w:ilvl="0">
      <w:lvlJc w:val="left"/>
      <w:lvlText w:val="(%1)"/>
      <w:numFmt w:val="lowerLetter"/>
      <w:start w:val="5"/>
    </w:lvl>
  </w:abstractNum>
  <w:abstractNum w:abstractNumId="80">
    <w:nsid w:val="288F1A34"/>
    <w:multiLevelType w:val="hybridMultilevel"/>
    <w:lvl w:ilvl="0">
      <w:lvlJc w:val="left"/>
      <w:lvlText w:val="%1"/>
      <w:numFmt w:val="lowerLetter"/>
      <w:start w:val="1"/>
    </w:lvl>
    <w:lvl w:ilvl="1">
      <w:lvlJc w:val="left"/>
      <w:lvlText w:val="(%2)"/>
      <w:numFmt w:val="lowerLetter"/>
      <w:start w:val="1"/>
    </w:lvl>
  </w:abstractNum>
  <w:abstractNum w:abstractNumId="81">
    <w:nsid w:val="2A155DBC"/>
    <w:multiLevelType w:val="hybridMultilevel"/>
    <w:lvl w:ilvl="0">
      <w:lvlJc w:val="left"/>
      <w:lvlText w:val="(%1)"/>
      <w:numFmt w:val="lowerLetter"/>
      <w:start w:val="24"/>
    </w:lvl>
    <w:lvl w:ilvl="1">
      <w:lvlJc w:val="left"/>
      <w:lvlText w:val="(%2)"/>
      <w:numFmt w:val="lowerLetter"/>
      <w:start w:val="2"/>
    </w:lvl>
  </w:abstractNum>
  <w:abstractNum w:abstractNumId="82">
    <w:nsid w:val="1D9F6E5F"/>
    <w:multiLevelType w:val="hybridMultilevel"/>
    <w:lvl w:ilvl="0">
      <w:lvlJc w:val="left"/>
      <w:lvlText w:val="(%1)"/>
      <w:numFmt w:val="lowerLetter"/>
      <w:start w:val="3"/>
    </w:lvl>
  </w:abstractNum>
  <w:abstractNum w:abstractNumId="83">
    <w:nsid w:val="97E1B4E"/>
    <w:multiLevelType w:val="hybridMultilevel"/>
    <w:lvl w:ilvl="0">
      <w:lvlJc w:val="left"/>
      <w:lvlText w:val="(%1)"/>
      <w:numFmt w:val="lowerRoman"/>
      <w:start w:val="1"/>
    </w:lvl>
  </w:abstractNum>
  <w:abstractNum w:abstractNumId="84">
    <w:nsid w:val="51088277"/>
    <w:multiLevelType w:val="hybridMultilevel"/>
    <w:lvl w:ilvl="0">
      <w:lvlJc w:val="left"/>
      <w:lvlText w:val="(%1)"/>
      <w:numFmt w:val="lowerLetter"/>
      <w:start w:val="1"/>
    </w:lvl>
  </w:abstractNum>
  <w:abstractNum w:abstractNumId="85">
    <w:nsid w:val="1CA0C5FA"/>
    <w:multiLevelType w:val="hybridMultilevel"/>
    <w:lvl w:ilvl="0">
      <w:lvlJc w:val="left"/>
      <w:lvlText w:val="(%1)"/>
      <w:numFmt w:val="lowerLetter"/>
      <w:start w:val="2"/>
    </w:lvl>
  </w:abstractNum>
  <w:abstractNum w:abstractNumId="86">
    <w:nsid w:val="53584BCB"/>
    <w:multiLevelType w:val="hybridMultilevel"/>
    <w:lvl w:ilvl="0">
      <w:lvlJc w:val="left"/>
      <w:lvlText w:val="(%1)"/>
      <w:numFmt w:val="lowerRoman"/>
      <w:start w:val="2"/>
    </w:lvl>
  </w:abstractNum>
  <w:abstractNum w:abstractNumId="87">
    <w:nsid w:val="415E286C"/>
    <w:multiLevelType w:val="hybridMultilevel"/>
    <w:lvl w:ilvl="0">
      <w:lvlJc w:val="left"/>
      <w:lvlText w:val="(%1)"/>
      <w:numFmt w:val="lowerLetter"/>
      <w:start w:val="1"/>
    </w:lvl>
    <w:lvl w:ilvl="1">
      <w:lvlJc w:val="left"/>
      <w:lvlText w:val="(%2)"/>
      <w:numFmt w:val="lowerRoman"/>
      <w:start w:val="1"/>
    </w:lvl>
  </w:abstractNum>
  <w:abstractNum w:abstractNumId="88">
    <w:nsid w:val="7C58FD05"/>
    <w:multiLevelType w:val="hybridMultilevel"/>
    <w:lvl w:ilvl="0">
      <w:lvlJc w:val="left"/>
      <w:lvlText w:val="(%1)"/>
      <w:numFmt w:val="lowerLetter"/>
      <w:start w:val="1"/>
    </w:lvl>
  </w:abstractNum>
  <w:abstractNum w:abstractNumId="89">
    <w:nsid w:val="23D86AAC"/>
    <w:multiLevelType w:val="hybridMultilevel"/>
    <w:lvl w:ilvl="0">
      <w:lvlJc w:val="left"/>
      <w:lvlText w:val="(%1)"/>
      <w:numFmt w:val="lowerRoman"/>
      <w:start w:val="1"/>
    </w:lvl>
  </w:abstractNum>
  <w:abstractNum w:abstractNumId="90">
    <w:nsid w:val="45E6D486"/>
    <w:multiLevelType w:val="hybridMultilevel"/>
    <w:lvl w:ilvl="0">
      <w:lvlJc w:val="left"/>
      <w:lvlText w:val="(%1)"/>
      <w:numFmt w:val="lowerLetter"/>
      <w:start w:val="1"/>
    </w:lvl>
  </w:abstractNum>
  <w:abstractNum w:abstractNumId="91">
    <w:nsid w:val="5C10FE21"/>
    <w:multiLevelType w:val="hybridMultilevel"/>
    <w:lvl w:ilvl="0">
      <w:lvlJc w:val="left"/>
      <w:lvlText w:val="(%1)"/>
      <w:numFmt w:val="upperLetter"/>
      <w:start w:val="2"/>
    </w:lvl>
  </w:abstractNum>
  <w:abstractNum w:abstractNumId="92">
    <w:nsid w:val="E7FFA2B"/>
    <w:multiLevelType w:val="hybridMultilevel"/>
    <w:lvl w:ilvl="0">
      <w:lvlJc w:val="left"/>
      <w:lvlText w:val="(%1)"/>
      <w:numFmt w:val="lowerLetter"/>
      <w:start w:val="1"/>
    </w:lvl>
    <w:lvl w:ilvl="1">
      <w:lvlJc w:val="left"/>
      <w:lvlText w:val="(%2)"/>
      <w:numFmt w:val="lowerRoman"/>
      <w:start w:val="1"/>
    </w:lvl>
  </w:abstractNum>
  <w:abstractNum w:abstractNumId="93">
    <w:nsid w:val="3C5991AA"/>
    <w:multiLevelType w:val="hybridMultilevel"/>
    <w:lvl w:ilvl="0">
      <w:lvlJc w:val="left"/>
      <w:lvlText w:val="(%1)"/>
      <w:numFmt w:val="lowerLetter"/>
      <w:start w:val="1"/>
    </w:lvl>
    <w:lvl w:ilvl="1">
      <w:lvlJc w:val="left"/>
      <w:lvlText w:val="(%2)"/>
      <w:numFmt w:val="lowerLetter"/>
      <w:start w:val="9"/>
    </w:lvl>
  </w:abstractNum>
  <w:abstractNum w:abstractNumId="94">
    <w:nsid w:val="4BD8591A"/>
    <w:multiLevelType w:val="hybridMultilevel"/>
    <w:lvl w:ilvl="0">
      <w:lvlJc w:val="left"/>
      <w:lvlText w:val="%1"/>
      <w:numFmt w:val="lowerLetter"/>
      <w:start w:val="1"/>
    </w:lvl>
    <w:lvl w:ilvl="1">
      <w:lvlJc w:val="left"/>
      <w:lvlText w:val="(%2)"/>
      <w:numFmt w:val="lowerLetter"/>
      <w:start w:val="35"/>
    </w:lvl>
  </w:abstractNum>
  <w:abstractNum w:abstractNumId="95">
    <w:nsid w:val="78DF6A55"/>
    <w:multiLevelType w:val="hybridMultilevel"/>
    <w:lvl w:ilvl="0">
      <w:lvlJc w:val="left"/>
      <w:lvlText w:val="(%1)"/>
      <w:numFmt w:val="lowerLetter"/>
      <w:start w:val="3"/>
    </w:lvl>
    <w:lvl w:ilvl="1">
      <w:lvlJc w:val="left"/>
      <w:lvlText w:val="%2"/>
      <w:numFmt w:val="lowerLetter"/>
      <w:start w:val="1"/>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upperLetter"/>
      <w:start w:val="1"/>
    </w:lvl>
    <w:lvl w:ilvl="1">
      <w:lvlJc w:val="left"/>
      <w:lvlText w:val="(%2)"/>
      <w:numFmt w:val="lowerLetter"/>
      <w:start w:val="2"/>
    </w:lvl>
  </w:abstractNum>
  <w:abstractNum w:abstractNumId="98">
    <w:nsid w:val="6C80EC70"/>
    <w:multiLevelType w:val="hybridMultilevel"/>
    <w:lvl w:ilvl="0">
      <w:lvlJc w:val="left"/>
      <w:lvlText w:val="(%1)"/>
      <w:numFmt w:val="upperLetter"/>
      <w:start w:val="1"/>
    </w:lvl>
    <w:lvl w:ilvl="1">
      <w:lvlJc w:val="left"/>
      <w:lvlText w:val="%2"/>
      <w:numFmt w:val="lowerLetter"/>
      <w:start w:val="1"/>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lowerLetter"/>
      <w:start w:val="3"/>
    </w:lvl>
  </w:abstractNum>
  <w:abstractNum w:abstractNumId="101">
    <w:nsid w:val="2C27173B"/>
    <w:multiLevelType w:val="hybridMultilevel"/>
    <w:lvl w:ilvl="0">
      <w:lvlJc w:val="left"/>
      <w:lvlText w:val="%1"/>
      <w:numFmt w:val="lowerLetter"/>
      <w:start w:val="1"/>
    </w:lvl>
    <w:lvl w:ilvl="1">
      <w:lvlJc w:val="left"/>
      <w:lvlText w:val="(%2)"/>
      <w:numFmt w:val="lowerLetter"/>
      <w:start w:val="5"/>
    </w:lvl>
  </w:abstractNum>
  <w:abstractNum w:abstractNumId="102">
    <w:nsid w:val="4C9B0904"/>
    <w:multiLevelType w:val="hybridMultilevel"/>
    <w:lvl w:ilvl="0">
      <w:lvlJc w:val="left"/>
      <w:lvlText w:val="(%1)"/>
      <w:numFmt w:val="lowerLetter"/>
      <w:start w:val="2"/>
    </w:lvl>
    <w:lvl w:ilvl="1">
      <w:lvlJc w:val="left"/>
      <w:lvlText w:val="%2"/>
      <w:numFmt w:val="lowerLetter"/>
      <w:start w:val="1"/>
    </w:lvl>
  </w:abstractNum>
  <w:abstractNum w:abstractNumId="103">
    <w:nsid w:val="6AA7B75C"/>
    <w:multiLevelType w:val="hybridMultilevel"/>
    <w:lvl w:ilvl="0">
      <w:lvlJc w:val="left"/>
      <w:lvlText w:val="(%1)"/>
      <w:numFmt w:val="lowerLetter"/>
      <w:start w:val="1"/>
    </w:lvl>
    <w:lvl w:ilvl="1">
      <w:lvlJc w:val="left"/>
      <w:lvlText w:val="(%2)"/>
      <w:numFmt w:val="lowerLetter"/>
      <w:start w:val="9"/>
    </w:lvl>
  </w:abstractNum>
  <w:abstractNum w:abstractNumId="104">
    <w:nsid w:val="1DF029D3"/>
    <w:multiLevelType w:val="hybridMultilevel"/>
    <w:lvl w:ilvl="0">
      <w:lvlJc w:val="left"/>
      <w:lvlText w:val="(%1)"/>
      <w:numFmt w:val="lowerRoman"/>
      <w:start w:val="2"/>
    </w:lvl>
  </w:abstractNum>
  <w:abstractNum w:abstractNumId="105">
    <w:nsid w:val="5675FF36"/>
    <w:multiLevelType w:val="hybridMultilevel"/>
    <w:lvl w:ilvl="0">
      <w:lvlJc w:val="left"/>
      <w:lvlText w:val="(%1)"/>
      <w:numFmt w:val="lowerLetter"/>
      <w:start w:val="2"/>
    </w:lvl>
    <w:lvl w:ilvl="1">
      <w:lvlJc w:val="left"/>
      <w:lvlText w:val="(%2)"/>
      <w:numFmt w:val="lowerRoman"/>
      <w:start w:val="1"/>
    </w:lvl>
  </w:abstractNum>
  <w:abstractNum w:abstractNumId="106">
    <w:nsid w:val="3DD15094"/>
    <w:multiLevelType w:val="hybridMultilevel"/>
    <w:lvl w:ilvl="0">
      <w:lvlJc w:val="left"/>
      <w:lvlText w:val="(%1)"/>
      <w:numFmt w:val="lowerLetter"/>
      <w:start w:val="3"/>
    </w:lvl>
  </w:abstractNum>
  <w:abstractNum w:abstractNumId="107">
    <w:nsid w:val="3DB012B3"/>
    <w:multiLevelType w:val="hybridMultilevel"/>
    <w:lvl w:ilvl="0">
      <w:lvlJc w:val="left"/>
      <w:lvlText w:val="%1"/>
      <w:numFmt w:val="decimal"/>
      <w:start w:val="1"/>
    </w:lvl>
    <w:lvl w:ilvl="1">
      <w:lvlJc w:val="left"/>
      <w:lvlText w:val="%2."/>
      <w:numFmt w:val="decimal"/>
      <w:start w:val="1"/>
    </w:lvl>
  </w:abstractNum>
  <w:abstractNum w:abstractNumId="108">
    <w:nsid w:val="2708C9AF"/>
    <w:multiLevelType w:val="hybridMultilevel"/>
    <w:lvl w:ilvl="0">
      <w:lvlJc w:val="left"/>
      <w:lvlText w:val="%1."/>
      <w:numFmt w:val="decimal"/>
      <w:start w:val="6"/>
    </w:lvl>
    <w:lvl w:ilvl="1">
      <w:lvlJc w:val="left"/>
      <w:lvlText w:val="%2"/>
      <w:numFmt w:val="decimal"/>
      <w:start w:val="1"/>
    </w:lvl>
  </w:abstractNum>
  <w:abstractNum w:abstractNumId="109">
    <w:nsid w:val="5B25ACE2"/>
    <w:multiLevelType w:val="hybridMultilevel"/>
    <w:lvl w:ilvl="0">
      <w:lvlJc w:val="left"/>
      <w:lvlText w:val="%1."/>
      <w:numFmt w:val="decimal"/>
      <w:start w:val="6"/>
    </w:lvl>
  </w:abstractNum>
  <w:abstractNum w:abstractNumId="110">
    <w:nsid w:val="175DFCF0"/>
    <w:multiLevelType w:val="hybridMultilevel"/>
    <w:lvl w:ilvl="0">
      <w:lvlJc w:val="left"/>
      <w:lvlText w:val="1"/>
      <w:numFmt w:val="bullet"/>
      <w:start w:val="1"/>
    </w:lvl>
  </w:abstractNum>
  <w:abstractNum w:abstractNumId="111">
    <w:nsid w:val="4F97E3E4"/>
    <w:multiLevelType w:val="hybridMultilevel"/>
    <w:lvl w:ilvl="0">
      <w:lvlJc w:val="left"/>
      <w:lvlText w:val="2"/>
      <w:numFmt w:val="bullet"/>
      <w:start w:val="1"/>
    </w:lvl>
  </w:abstractNum>
  <w:abstractNum w:abstractNumId="112">
    <w:nsid w:val="53B0A9E"/>
    <w:multiLevelType w:val="hybridMultilevel"/>
    <w:lvl w:ilvl="0">
      <w:lvlJc w:val="left"/>
      <w:lvlText w:val="7"/>
      <w:numFmt w:val="bullet"/>
      <w:start w:val="1"/>
    </w:lvl>
  </w:abstractNum>
  <w:abstractNum w:abstractNumId="113">
    <w:nsid w:val="34FD6B4F"/>
    <w:multiLevelType w:val="hybridMultilevel"/>
    <w:lvl w:ilvl="0">
      <w:lvlJc w:val="left"/>
      <w:lvlText w:val="8"/>
      <w:numFmt w:val="bullet"/>
      <w:start w:val="1"/>
    </w:lvl>
  </w:abstractNum>
  <w:abstractNum w:abstractNumId="114">
    <w:nsid w:val="5915FF32"/>
    <w:multiLevelType w:val="hybridMultilevel"/>
    <w:lvl w:ilvl="0">
      <w:lvlJc w:val="left"/>
      <w:lvlText w:val="%1."/>
      <w:numFmt w:val="decimal"/>
      <w:start w:val="1"/>
    </w:lvl>
  </w:abstractNum>
  <w:abstractNum w:abstractNumId="115">
    <w:nsid w:val="56438D15"/>
    <w:multiLevelType w:val="hybridMultilevel"/>
    <w:lvl w:ilvl="0">
      <w:lvlJc w:val="left"/>
      <w:lvlText w:val="(%1)"/>
      <w:numFmt w:val="lowerRoman"/>
      <w:start w:val="6"/>
    </w:lvl>
  </w:abstractNum>
  <w:abstractNum w:abstractNumId="116">
    <w:nsid w:val="519E3149"/>
    <w:multiLevelType w:val="hybridMultilevel"/>
    <w:lvl w:ilvl="0">
      <w:lvlJc w:val="left"/>
      <w:lvlText w:val="%1."/>
      <w:numFmt w:val="decimal"/>
      <w:start w:val="2"/>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1"/>
    </w:lvl>
    <w:lvl w:ilvl="1">
      <w:lvlJc w:val="left"/>
      <w:lvlText w:val="%2."/>
      <w:numFmt w:val="decimal"/>
      <w:start w:val="1"/>
    </w:lvl>
  </w:abstractNum>
  <w:abstractNum w:abstractNumId="119">
    <w:nsid w:val="4DF72E4E"/>
    <w:multiLevelType w:val="hybridMultilevel"/>
    <w:lvl w:ilvl="0">
      <w:lvlJc w:val="left"/>
      <w:lvlText w:val="(%1)"/>
      <w:numFmt w:val="lowerLetter"/>
      <w:start w:val="2"/>
    </w:lvl>
    <w:lvl w:ilvl="1">
      <w:lvlJc w:val="left"/>
      <w:lvlText w:val="%2."/>
      <w:numFmt w:val="decimal"/>
      <w:start w:val="1"/>
    </w:lvl>
  </w:abstractNum>
  <w:abstractNum w:abstractNumId="120">
    <w:nsid w:val="5046B5A9"/>
    <w:multiLevelType w:val="hybridMultilevel"/>
    <w:lvl w:ilvl="0">
      <w:lvlJc w:val="left"/>
      <w:lvlText w:val="☐"/>
      <w:numFmt w:val="bullet"/>
      <w:start w:val="1"/>
    </w:lvl>
    <w:lvl w:ilvl="1">
      <w:lvlJc w:val="left"/>
      <w:lvlText w:val="☐"/>
      <w:numFmt w:val="bullet"/>
      <w:start w:val="1"/>
    </w:lvl>
  </w:abstractNum>
  <w:abstractNum w:abstractNumId="121">
    <w:nsid w:val="5D888A08"/>
    <w:multiLevelType w:val="hybridMultilevel"/>
    <w:lvl w:ilvl="0">
      <w:lvlJc w:val="left"/>
      <w:lvlText w:val="%1."/>
      <w:numFmt w:val="decimal"/>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1."/>
      <w:numFmt w:val="decimal"/>
      <w:start w:val="2"/>
    </w:lvl>
  </w:abstractNum>
  <w:abstractNum w:abstractNumId="124">
    <w:nsid w:val="19E21BB2"/>
    <w:multiLevelType w:val="hybridMultilevel"/>
    <w:lvl w:ilvl="0">
      <w:lvlJc w:val="left"/>
      <w:lvlText w:val="%1."/>
      <w:numFmt w:val="decimal"/>
      <w:start w:val="3"/>
    </w:lvl>
  </w:abstractNum>
  <w:abstractNum w:abstractNumId="125">
    <w:nsid w:val="75E0858A"/>
    <w:multiLevelType w:val="hybridMultilevel"/>
    <w:lvl w:ilvl="0">
      <w:lvlJc w:val="left"/>
      <w:lvlText w:val="%1."/>
      <w:numFmt w:val="decimal"/>
      <w:start w:val="1"/>
    </w:lvl>
  </w:abstractNum>
  <w:abstractNum w:abstractNumId="126">
    <w:nsid w:val="57A61A29"/>
    <w:multiLevelType w:val="hybridMultilevel"/>
    <w:lvl w:ilvl="0">
      <w:lvlJc w:val="left"/>
      <w:lvlText w:val="□"/>
      <w:numFmt w:val="bullet"/>
      <w:start w:val="1"/>
    </w:lvl>
  </w:abstractNum>
  <w:abstractNum w:abstractNumId="127">
    <w:nsid w:val="5399C654"/>
    <w:multiLevelType w:val="hybridMultilevel"/>
    <w:lvl w:ilvl="0">
      <w:lvlJc w:val="left"/>
      <w:lvlText w:val="%1."/>
      <w:numFmt w:val="decimal"/>
      <w:start w:val="2"/>
    </w:lvl>
  </w:abstractNum>
  <w:abstractNum w:abstractNumId="128">
    <w:nsid w:val="20EE1348"/>
    <w:multiLevelType w:val="hybridMultilevel"/>
    <w:lvl w:ilvl="0">
      <w:lvlJc w:val="left"/>
      <w:lvlText w:val="(%1)"/>
      <w:numFmt w:val="lowerLetter"/>
      <w:start w:val="5"/>
    </w:lvl>
  </w:abstractNum>
  <w:abstractNum w:abstractNumId="129">
    <w:nsid w:val="4427069A"/>
    <w:multiLevelType w:val="hybridMultilevel"/>
    <w:lvl w:ilvl="0">
      <w:lvlJc w:val="left"/>
      <w:lvlText w:val="%1."/>
      <w:numFmt w:val="decimal"/>
      <w:start w:val="3"/>
    </w:lvl>
  </w:abstractNum>
  <w:abstractNum w:abstractNumId="130">
    <w:nsid w:val="B37E80A"/>
    <w:multiLevelType w:val="hybridMultilevel"/>
    <w:lvl w:ilvl="0">
      <w:lvlJc w:val="left"/>
      <w:lvlText w:val="%1"/>
      <w:numFmt w:val="decimal"/>
      <w:start w:val="1"/>
    </w:lvl>
    <w:lvl w:ilvl="1">
      <w:lvlJc w:val="left"/>
      <w:lvlText w:val="%2."/>
      <w:numFmt w:val="upperLetter"/>
      <w:start w:val="1"/>
    </w:lvl>
  </w:abstractNum>
  <w:abstractNum w:abstractNumId="131">
    <w:nsid w:val="2157F6BC"/>
    <w:multiLevelType w:val="hybridMultilevel"/>
    <w:lvl w:ilvl="0">
      <w:lvlJc w:val="left"/>
      <w:lvlText w:val="%1."/>
      <w:numFmt w:val="decimal"/>
      <w:start w:val="1"/>
    </w:lvl>
    <w:lvl w:ilvl="1">
      <w:lvlJc w:val="left"/>
      <w:lvlText w:val="%2"/>
      <w:numFmt w:val="upperLetter"/>
      <w:start w:val="1"/>
    </w:lvl>
  </w:abstractNum>
  <w:abstractNum w:abstractNumId="132">
    <w:nsid w:val="704E1DD5"/>
    <w:multiLevelType w:val="hybridMultilevel"/>
    <w:lvl w:ilvl="0">
      <w:lvlJc w:val="left"/>
      <w:lvlText w:val="9"/>
      <w:numFmt w:val="bullet"/>
      <w:start w:val="1"/>
    </w:lvl>
  </w:abstractNum>
  <w:abstractNum w:abstractNumId="133">
    <w:nsid w:val="57D2F10E"/>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134">
    <w:nsid w:val="BFFAE1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2026-03-26T14:19:32Z</dcterms:created>
  <dcterms:modified xsi:type="dcterms:W3CDTF">2026-03-26T14:19:32Z</dcterms:modified>
</cp:coreProperties>
</file>